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E7AC32" w14:textId="77777777" w:rsidR="00620FAA" w:rsidRPr="00620FAA" w:rsidRDefault="00620FAA" w:rsidP="00F04151">
      <w:pPr>
        <w:outlineLvl w:val="0"/>
        <w:rPr>
          <w:color w:val="2F5496" w:themeColor="accent1" w:themeShade="BF"/>
        </w:rPr>
      </w:pPr>
      <w:bookmarkStart w:id="0" w:name="_GoBack"/>
      <w:bookmarkEnd w:id="0"/>
      <w:r w:rsidRPr="43097039">
        <w:rPr>
          <w:rFonts w:asciiTheme="majorHAnsi" w:hAnsiTheme="majorHAnsi" w:cstheme="majorBidi"/>
          <w:color w:val="2F5496" w:themeColor="accent1" w:themeShade="BF"/>
          <w:sz w:val="32"/>
          <w:szCs w:val="32"/>
        </w:rPr>
        <w:t>Risk Assessment Template</w:t>
      </w:r>
    </w:p>
    <w:p w14:paraId="3EC5DA39" w14:textId="2EC2B543" w:rsidR="00F34D93" w:rsidRDefault="00F34D93" w:rsidP="00D3039E">
      <w:r w:rsidRPr="00454D05">
        <w:t>This risk assessment template</w:t>
      </w:r>
      <w:r w:rsidR="0036599D" w:rsidRPr="5EF068BE">
        <w:t>,</w:t>
      </w:r>
      <w:r w:rsidR="006A3D31">
        <w:rPr>
          <w:rStyle w:val="FootnoteReference"/>
        </w:rPr>
        <w:footnoteReference w:id="2"/>
      </w:r>
      <w:r w:rsidR="0036599D">
        <w:t xml:space="preserve"> which</w:t>
      </w:r>
      <w:r w:rsidRPr="5EF068BE">
        <w:t xml:space="preserve"> </w:t>
      </w:r>
      <w:r>
        <w:t xml:space="preserve">aligns with </w:t>
      </w:r>
      <w:r w:rsidRPr="00454D05">
        <w:t>the Risk Management Framework</w:t>
      </w:r>
      <w:r>
        <w:t xml:space="preserve"> developed by the U.S. Government Accountability Office (GAO)</w:t>
      </w:r>
      <w:r w:rsidR="0036599D" w:rsidRPr="5EF068BE">
        <w:t>,</w:t>
      </w:r>
      <w:r>
        <w:rPr>
          <w:rStyle w:val="FootnoteReference"/>
        </w:rPr>
        <w:footnoteReference w:id="3"/>
      </w:r>
      <w:r w:rsidRPr="5EF068BE">
        <w:t xml:space="preserve"> </w:t>
      </w:r>
      <w:r w:rsidR="0036599D">
        <w:t>is intended</w:t>
      </w:r>
      <w:r w:rsidR="004B5419">
        <w:t xml:space="preserve"> as a guidance document</w:t>
      </w:r>
      <w:r w:rsidR="0036599D">
        <w:t xml:space="preserve"> to</w:t>
      </w:r>
      <w:r w:rsidR="00F37ACE" w:rsidRPr="5EF068BE">
        <w:t xml:space="preserve"> </w:t>
      </w:r>
      <w:r w:rsidRPr="00454D05">
        <w:t>support state Medicaid agenc</w:t>
      </w:r>
      <w:r w:rsidR="0036599D">
        <w:t xml:space="preserve">y efforts to </w:t>
      </w:r>
      <w:r w:rsidR="00F37ACE">
        <w:t>identify and address</w:t>
      </w:r>
      <w:r w:rsidRPr="00454D05">
        <w:t xml:space="preserve"> program </w:t>
      </w:r>
      <w:r w:rsidR="00770CC4">
        <w:t>risks</w:t>
      </w:r>
      <w:r w:rsidR="00770CC4" w:rsidRPr="5EF068BE">
        <w:t xml:space="preserve"> </w:t>
      </w:r>
      <w:r w:rsidRPr="00454D05">
        <w:t xml:space="preserve">associated with </w:t>
      </w:r>
      <w:r w:rsidR="00AD4F36">
        <w:t>Coronavirus Disease 2019 (</w:t>
      </w:r>
      <w:r w:rsidRPr="00454D05">
        <w:t>COVID-19</w:t>
      </w:r>
      <w:r w:rsidR="00AD4F36">
        <w:t>) Public Health Emergency</w:t>
      </w:r>
      <w:r w:rsidRPr="5EF068BE">
        <w:t xml:space="preserve"> </w:t>
      </w:r>
      <w:r w:rsidR="00AD4F36" w:rsidRPr="5EF068BE">
        <w:t>(</w:t>
      </w:r>
      <w:r w:rsidRPr="00454D05">
        <w:t>PHE</w:t>
      </w:r>
      <w:r w:rsidR="00AD4F36" w:rsidRPr="5EF068BE">
        <w:t>)</w:t>
      </w:r>
      <w:r w:rsidRPr="00454D05">
        <w:t xml:space="preserve"> waivers</w:t>
      </w:r>
      <w:r w:rsidR="004129C2" w:rsidRPr="5EF068BE">
        <w:t xml:space="preserve">, </w:t>
      </w:r>
      <w:r w:rsidRPr="00454D05">
        <w:t>flexibilities</w:t>
      </w:r>
      <w:r w:rsidR="004129C2">
        <w:t xml:space="preserve"> and </w:t>
      </w:r>
      <w:r w:rsidR="009534BD">
        <w:t xml:space="preserve">other </w:t>
      </w:r>
      <w:r w:rsidR="004129C2">
        <w:t>requirements</w:t>
      </w:r>
      <w:r w:rsidR="00F37ACE" w:rsidRPr="5EF068BE">
        <w:t xml:space="preserve">. </w:t>
      </w:r>
      <w:r w:rsidR="00795DFE" w:rsidRPr="5EF068BE">
        <w:t xml:space="preserve"> </w:t>
      </w:r>
      <w:r>
        <w:t>Specifically, this risk assessment</w:t>
      </w:r>
      <w:r w:rsidRPr="00454D05">
        <w:t xml:space="preserve"> template provides a </w:t>
      </w:r>
      <w:r w:rsidR="004B5419">
        <w:t xml:space="preserve">suggested </w:t>
      </w:r>
      <w:r w:rsidRPr="00454D05">
        <w:t>step-by-step approach for identifying, assessing, prioritizing, and addressing program integrity</w:t>
      </w:r>
      <w:r w:rsidR="00FC6D01" w:rsidRPr="5EF068BE">
        <w:t xml:space="preserve"> </w:t>
      </w:r>
      <w:r w:rsidR="00AD4F36">
        <w:t>risks</w:t>
      </w:r>
      <w:r w:rsidRPr="5EF068BE">
        <w:t>.</w:t>
      </w:r>
    </w:p>
    <w:p w14:paraId="4751914D" w14:textId="77777777" w:rsidR="00F34D93" w:rsidRPr="00454D05" w:rsidRDefault="00F34D93" w:rsidP="00F34D93">
      <w:r>
        <w:t>When using this template, please note the following:</w:t>
      </w:r>
    </w:p>
    <w:p w14:paraId="1F401396" w14:textId="77777777" w:rsidR="00F34D93" w:rsidRDefault="00722322" w:rsidP="00DC42A0">
      <w:pPr>
        <w:pStyle w:val="ListParagraph"/>
        <w:numPr>
          <w:ilvl w:val="0"/>
          <w:numId w:val="4"/>
        </w:numPr>
        <w:jc w:val="both"/>
      </w:pPr>
      <w:r>
        <w:t>While t</w:t>
      </w:r>
      <w:r w:rsidR="00F34D93">
        <w:t>his template was developed specifically to support state</w:t>
      </w:r>
      <w:r w:rsidR="0036599D">
        <w:t xml:space="preserve"> effort</w:t>
      </w:r>
      <w:r w:rsidR="00F34D93">
        <w:t xml:space="preserve">s </w:t>
      </w:r>
      <w:r w:rsidR="0036599D">
        <w:t>to identify risks related to</w:t>
      </w:r>
      <w:r w:rsidR="00F34D93">
        <w:t xml:space="preserve"> COVID-19 PHE waivers and flexibilities</w:t>
      </w:r>
      <w:r w:rsidR="004B5419">
        <w:t xml:space="preserve">, </w:t>
      </w:r>
      <w:r w:rsidR="00F34D93">
        <w:t>it can</w:t>
      </w:r>
      <w:r w:rsidR="00F34D93" w:rsidRPr="00F7177A">
        <w:t xml:space="preserve"> be used to assess</w:t>
      </w:r>
      <w:r w:rsidR="00F34D93">
        <w:t xml:space="preserve"> potential program</w:t>
      </w:r>
      <w:r w:rsidR="00F34D93" w:rsidRPr="00F7177A">
        <w:t xml:space="preserve"> risks for any aspect of Medicaid and/or </w:t>
      </w:r>
      <w:r w:rsidR="004B5419">
        <w:t xml:space="preserve">the </w:t>
      </w:r>
      <w:r w:rsidR="00F34D93">
        <w:t>Children’s Health Insurance Program (</w:t>
      </w:r>
      <w:r w:rsidR="00F34D93" w:rsidRPr="00F7177A">
        <w:t>CHIP</w:t>
      </w:r>
      <w:r w:rsidR="00F34D93">
        <w:t>).</w:t>
      </w:r>
    </w:p>
    <w:p w14:paraId="783C2872" w14:textId="77777777" w:rsidR="00F34D93" w:rsidRDefault="00F34D93" w:rsidP="00DC42A0">
      <w:pPr>
        <w:pStyle w:val="ListParagraph"/>
        <w:numPr>
          <w:ilvl w:val="0"/>
          <w:numId w:val="4"/>
        </w:numPr>
        <w:jc w:val="both"/>
      </w:pPr>
      <w:r>
        <w:t>This template</w:t>
      </w:r>
      <w:r w:rsidRPr="00454D05">
        <w:t xml:space="preserve"> serves as a starting point for state</w:t>
      </w:r>
      <w:r>
        <w:t xml:space="preserve">s and </w:t>
      </w:r>
      <w:r w:rsidR="004B5419">
        <w:t>can</w:t>
      </w:r>
      <w:r w:rsidR="004B5419" w:rsidRPr="00454D05">
        <w:t xml:space="preserve"> </w:t>
      </w:r>
      <w:r w:rsidRPr="00454D05">
        <w:t xml:space="preserve">be tailored as needed to fit </w:t>
      </w:r>
      <w:r w:rsidR="0036599D">
        <w:t xml:space="preserve">each state’s </w:t>
      </w:r>
      <w:r w:rsidRPr="00454D05">
        <w:t>program</w:t>
      </w:r>
      <w:r w:rsidR="0036599D">
        <w:t>s</w:t>
      </w:r>
      <w:r w:rsidRPr="00454D05">
        <w:t xml:space="preserve"> and needs</w:t>
      </w:r>
      <w:r>
        <w:t>.</w:t>
      </w:r>
    </w:p>
    <w:p w14:paraId="36E89E24" w14:textId="77777777" w:rsidR="00F34D93" w:rsidRPr="00454D05" w:rsidRDefault="00A42717" w:rsidP="00DC42A0">
      <w:pPr>
        <w:pStyle w:val="ListParagraph"/>
        <w:numPr>
          <w:ilvl w:val="0"/>
          <w:numId w:val="4"/>
        </w:numPr>
        <w:jc w:val="both"/>
      </w:pPr>
      <w:r>
        <w:t>T</w:t>
      </w:r>
      <w:r w:rsidR="00F34D93">
        <w:t>his</w:t>
      </w:r>
      <w:r>
        <w:t xml:space="preserve"> is a dynamic</w:t>
      </w:r>
      <w:r w:rsidR="00F34D93">
        <w:t xml:space="preserve"> </w:t>
      </w:r>
      <w:r w:rsidR="0036599D">
        <w:t xml:space="preserve">tool </w:t>
      </w:r>
      <w:r w:rsidR="00F34D93" w:rsidRPr="00454D05">
        <w:t xml:space="preserve">that </w:t>
      </w:r>
      <w:r>
        <w:t xml:space="preserve">can </w:t>
      </w:r>
      <w:r w:rsidR="0036599D">
        <w:t xml:space="preserve">be </w:t>
      </w:r>
      <w:r w:rsidR="00F34D93" w:rsidRPr="00454D05">
        <w:t>continually updated and maintained to identify new/emerging risks and update mitigation strategies as needed.</w:t>
      </w:r>
    </w:p>
    <w:p w14:paraId="1507A751" w14:textId="5E2A329F" w:rsidR="00FF78E4" w:rsidRPr="00D45503" w:rsidRDefault="00A42717" w:rsidP="36B04788">
      <w:pPr>
        <w:pStyle w:val="ListParagraph"/>
        <w:numPr>
          <w:ilvl w:val="0"/>
          <w:numId w:val="4"/>
        </w:numPr>
      </w:pPr>
      <w:r w:rsidRPr="00D45503">
        <w:t xml:space="preserve">CMS is not requiring states to implement the risk assessment process outlined in this document but is providing a proven approach to support the evaluation of program integrity risks created by COVID-19 PHE waivers and flexibilities.  States may choose </w:t>
      </w:r>
      <w:r>
        <w:t xml:space="preserve">instead </w:t>
      </w:r>
      <w:r w:rsidRPr="00D45503">
        <w:t xml:space="preserve">to continue to use existing processes or leverage other approaches for identifying and addressing program risks. </w:t>
      </w:r>
    </w:p>
    <w:p w14:paraId="61AA98E7" w14:textId="77777777" w:rsidR="00A42717" w:rsidRDefault="00A42717" w:rsidP="006923E7">
      <w:pPr>
        <w:pStyle w:val="ListParagraph"/>
        <w:ind w:left="0"/>
        <w:rPr>
          <w:sz w:val="20"/>
          <w:szCs w:val="20"/>
        </w:rPr>
      </w:pPr>
    </w:p>
    <w:p w14:paraId="68B8C4E2" w14:textId="77777777" w:rsidR="00A42717" w:rsidRDefault="00A42717" w:rsidP="006923E7">
      <w:pPr>
        <w:pStyle w:val="ListParagraph"/>
        <w:ind w:left="0"/>
        <w:rPr>
          <w:sz w:val="20"/>
          <w:szCs w:val="20"/>
        </w:rPr>
      </w:pPr>
    </w:p>
    <w:p w14:paraId="136612AE" w14:textId="77777777" w:rsidR="00A42717" w:rsidRDefault="00A42717" w:rsidP="006923E7">
      <w:pPr>
        <w:pStyle w:val="ListParagraph"/>
        <w:ind w:left="0"/>
        <w:rPr>
          <w:sz w:val="20"/>
          <w:szCs w:val="20"/>
        </w:rPr>
      </w:pPr>
    </w:p>
    <w:p w14:paraId="4DE76B5C" w14:textId="77777777" w:rsidR="00A42717" w:rsidRDefault="00A42717" w:rsidP="006923E7">
      <w:pPr>
        <w:pStyle w:val="ListParagraph"/>
        <w:ind w:left="0"/>
        <w:rPr>
          <w:sz w:val="20"/>
          <w:szCs w:val="20"/>
        </w:rPr>
      </w:pPr>
    </w:p>
    <w:p w14:paraId="420E9392" w14:textId="77777777" w:rsidR="00A42717" w:rsidRDefault="00A42717" w:rsidP="006923E7">
      <w:pPr>
        <w:pStyle w:val="ListParagraph"/>
        <w:ind w:left="0"/>
        <w:rPr>
          <w:sz w:val="20"/>
          <w:szCs w:val="20"/>
        </w:rPr>
      </w:pPr>
    </w:p>
    <w:p w14:paraId="44401823" w14:textId="77777777" w:rsidR="00A42717" w:rsidRDefault="00A42717" w:rsidP="006923E7">
      <w:pPr>
        <w:pStyle w:val="ListParagraph"/>
        <w:ind w:left="0"/>
        <w:rPr>
          <w:sz w:val="20"/>
          <w:szCs w:val="20"/>
        </w:rPr>
      </w:pPr>
    </w:p>
    <w:p w14:paraId="69EAD738" w14:textId="77777777" w:rsidR="00A42717" w:rsidRDefault="00A42717" w:rsidP="006923E7">
      <w:pPr>
        <w:pStyle w:val="ListParagraph"/>
        <w:ind w:left="0"/>
        <w:rPr>
          <w:sz w:val="20"/>
          <w:szCs w:val="20"/>
        </w:rPr>
      </w:pPr>
    </w:p>
    <w:p w14:paraId="714F7DBF" w14:textId="77777777" w:rsidR="00A42717" w:rsidRPr="00D45503" w:rsidRDefault="00A42717">
      <w:pPr>
        <w:rPr>
          <w:sz w:val="20"/>
          <w:szCs w:val="20"/>
        </w:rPr>
      </w:pPr>
    </w:p>
    <w:p w14:paraId="1197F2A3" w14:textId="77777777" w:rsidR="00A42717" w:rsidRDefault="00A42717" w:rsidP="006923E7">
      <w:pPr>
        <w:pStyle w:val="ListParagraph"/>
        <w:ind w:left="0"/>
        <w:rPr>
          <w:sz w:val="20"/>
          <w:szCs w:val="20"/>
        </w:rPr>
      </w:pPr>
    </w:p>
    <w:p w14:paraId="0D442093" w14:textId="77777777" w:rsidR="00A42717" w:rsidRPr="0012513E" w:rsidRDefault="00A42717" w:rsidP="00837858"/>
    <w:p w14:paraId="09A25437" w14:textId="77777777" w:rsidR="00837858" w:rsidRDefault="00DB7F73" w:rsidP="00F34D93">
      <w:pPr>
        <w:rPr>
          <w:sz w:val="20"/>
          <w:szCs w:val="20"/>
        </w:rPr>
      </w:pPr>
      <w:r w:rsidRPr="00D45503">
        <w:rPr>
          <w:b/>
          <w:bCs/>
          <w:sz w:val="20"/>
          <w:szCs w:val="20"/>
        </w:rPr>
        <w:t>Disclaimer</w:t>
      </w:r>
      <w:r w:rsidRPr="00D45503">
        <w:rPr>
          <w:sz w:val="20"/>
          <w:szCs w:val="20"/>
        </w:rPr>
        <w:t xml:space="preserve">: </w:t>
      </w:r>
      <w:r w:rsidR="00795DFE" w:rsidRPr="00D45503">
        <w:rPr>
          <w:sz w:val="20"/>
          <w:szCs w:val="20"/>
        </w:rPr>
        <w:t xml:space="preserve"> </w:t>
      </w:r>
      <w:r w:rsidR="003B24FD" w:rsidRPr="00D45503">
        <w:rPr>
          <w:sz w:val="20"/>
          <w:szCs w:val="20"/>
        </w:rPr>
        <w:t xml:space="preserve">The contents of this document do not have the force and effect of law and are not meant to bind the public in any way, unless specifically incorporated into a contract. </w:t>
      </w:r>
      <w:r w:rsidR="00795DFE" w:rsidRPr="00D45503">
        <w:rPr>
          <w:sz w:val="20"/>
          <w:szCs w:val="20"/>
        </w:rPr>
        <w:t xml:space="preserve"> </w:t>
      </w:r>
      <w:r w:rsidR="003B24FD" w:rsidRPr="00D45503">
        <w:rPr>
          <w:sz w:val="20"/>
          <w:szCs w:val="20"/>
        </w:rPr>
        <w:t>This document is intended only to provide clarity to the public regarding existing requirements under the law.</w:t>
      </w:r>
      <w:r w:rsidR="00142091">
        <w:rPr>
          <w:sz w:val="20"/>
          <w:szCs w:val="20"/>
        </w:rPr>
        <w:t xml:space="preserve">  </w:t>
      </w:r>
      <w:r w:rsidR="00142091" w:rsidRPr="00142091">
        <w:rPr>
          <w:sz w:val="20"/>
          <w:szCs w:val="20"/>
        </w:rPr>
        <w:t xml:space="preserve">This tool is intended to assist program managers with completing standardized risk assessments of programs and the internal controls needed to mitigate potential risks. It is not intended to be used in legal proceedings.  </w:t>
      </w:r>
      <w:r w:rsidR="00837858">
        <w:rPr>
          <w:sz w:val="20"/>
          <w:szCs w:val="20"/>
        </w:rPr>
        <w:br w:type="page"/>
      </w:r>
    </w:p>
    <w:p w14:paraId="338566EC" w14:textId="2AFF61F0" w:rsidR="00F34D93" w:rsidRDefault="00F34D93" w:rsidP="00CA7C61">
      <w:pPr>
        <w:outlineLvl w:val="1"/>
        <w:rPr>
          <w:b/>
          <w:bCs/>
        </w:rPr>
      </w:pPr>
      <w:r>
        <w:rPr>
          <w:b/>
          <w:bCs/>
        </w:rPr>
        <w:lastRenderedPageBreak/>
        <w:t xml:space="preserve">Step </w:t>
      </w:r>
      <w:r w:rsidR="00F37ACE">
        <w:rPr>
          <w:b/>
          <w:bCs/>
        </w:rPr>
        <w:t>1</w:t>
      </w:r>
      <w:r>
        <w:rPr>
          <w:b/>
          <w:bCs/>
        </w:rPr>
        <w:t xml:space="preserve">. </w:t>
      </w:r>
      <w:r w:rsidRPr="00DA4CBA">
        <w:rPr>
          <w:b/>
          <w:bCs/>
        </w:rPr>
        <w:t xml:space="preserve">Identify </w:t>
      </w:r>
      <w:r w:rsidR="002164FA">
        <w:rPr>
          <w:b/>
          <w:bCs/>
        </w:rPr>
        <w:t xml:space="preserve">waivers, </w:t>
      </w:r>
      <w:r w:rsidRPr="00DA4CBA">
        <w:rPr>
          <w:b/>
          <w:bCs/>
        </w:rPr>
        <w:t>flexibilities</w:t>
      </w:r>
      <w:r>
        <w:rPr>
          <w:b/>
          <w:bCs/>
        </w:rPr>
        <w:t xml:space="preserve"> </w:t>
      </w:r>
      <w:r w:rsidR="002164FA">
        <w:rPr>
          <w:b/>
          <w:bCs/>
        </w:rPr>
        <w:t>and/or</w:t>
      </w:r>
      <w:r w:rsidR="00E56AC1">
        <w:rPr>
          <w:b/>
          <w:bCs/>
        </w:rPr>
        <w:t xml:space="preserve"> requirements, categories and sources</w:t>
      </w:r>
    </w:p>
    <w:p w14:paraId="1FCA3444" w14:textId="13CC2A51" w:rsidR="00F34D93" w:rsidRDefault="006162B8" w:rsidP="004001C7">
      <w:r>
        <w:t>The first step in identifying program integrity risks is</w:t>
      </w:r>
      <w:r w:rsidR="00F34D93">
        <w:t xml:space="preserve"> to identify all</w:t>
      </w:r>
      <w:r w:rsidR="00F34D93" w:rsidRPr="004506C8">
        <w:t xml:space="preserve"> </w:t>
      </w:r>
      <w:r>
        <w:t xml:space="preserve">of the </w:t>
      </w:r>
      <w:r w:rsidR="00F34D93" w:rsidRPr="004506C8">
        <w:t xml:space="preserve">waivers and flexibilities your state </w:t>
      </w:r>
      <w:r>
        <w:t xml:space="preserve">has </w:t>
      </w:r>
      <w:r w:rsidR="00F34D93" w:rsidRPr="004506C8">
        <w:t>implemented</w:t>
      </w:r>
      <w:r w:rsidR="00F34D93">
        <w:t xml:space="preserve"> t</w:t>
      </w:r>
      <w:r w:rsidR="00A002C5">
        <w:t xml:space="preserve">o manage </w:t>
      </w:r>
      <w:r w:rsidR="00F34D93">
        <w:t>the PHE</w:t>
      </w:r>
      <w:r w:rsidR="00561D23">
        <w:t xml:space="preserve">, </w:t>
      </w:r>
      <w:r>
        <w:t xml:space="preserve">including new </w:t>
      </w:r>
      <w:r w:rsidR="00561D23">
        <w:t>federal requirements</w:t>
      </w:r>
      <w:r w:rsidR="00B1258D">
        <w:t>,</w:t>
      </w:r>
      <w:r w:rsidR="00E056C1">
        <w:t xml:space="preserve"> and assign an appropriate waiver/flexibility</w:t>
      </w:r>
      <w:r w:rsidR="002164FA">
        <w:t>/requirement</w:t>
      </w:r>
      <w:r w:rsidR="00E056C1">
        <w:t xml:space="preserve"> category</w:t>
      </w:r>
      <w:r w:rsidR="00F34D93">
        <w:t xml:space="preserve">. </w:t>
      </w:r>
      <w:r w:rsidR="00795DFE">
        <w:t xml:space="preserve"> </w:t>
      </w:r>
      <w:r w:rsidR="00057E95">
        <w:t>Because waivers</w:t>
      </w:r>
      <w:r w:rsidR="002164FA">
        <w:t>,</w:t>
      </w:r>
      <w:r w:rsidR="00057E95">
        <w:t xml:space="preserve"> flexibilities</w:t>
      </w:r>
      <w:r w:rsidR="001E6DD0">
        <w:t>,</w:t>
      </w:r>
      <w:r w:rsidR="002164FA">
        <w:t xml:space="preserve"> and requirements</w:t>
      </w:r>
      <w:r w:rsidR="00057E95">
        <w:t xml:space="preserve"> may cover a wide range of program areas, </w:t>
      </w:r>
      <w:r w:rsidR="00A30718">
        <w:t xml:space="preserve">more than one category may apply. </w:t>
      </w:r>
      <w:r w:rsidR="00A002C5">
        <w:t xml:space="preserve">When identifying the </w:t>
      </w:r>
      <w:r w:rsidR="00DC42A0">
        <w:t xml:space="preserve">policy </w:t>
      </w:r>
      <w:r w:rsidR="00A002C5">
        <w:t>source of these waivers</w:t>
      </w:r>
      <w:r w:rsidR="004C64EE">
        <w:t>,</w:t>
      </w:r>
      <w:r w:rsidR="00A002C5">
        <w:t xml:space="preserve"> flexibilities</w:t>
      </w:r>
      <w:r w:rsidR="001E6DD0">
        <w:t>,</w:t>
      </w:r>
      <w:r w:rsidR="004C64EE">
        <w:t xml:space="preserve"> and requirements</w:t>
      </w:r>
      <w:r w:rsidR="00A002C5">
        <w:t xml:space="preserve"> </w:t>
      </w:r>
      <w:r w:rsidR="008E4E19" w:rsidRPr="008E4E19">
        <w:t>(</w:t>
      </w:r>
      <w:r w:rsidR="00A002C5">
        <w:t xml:space="preserve">e.g., </w:t>
      </w:r>
      <w:r w:rsidR="008E4E19" w:rsidRPr="008E4E19">
        <w:t>1135 waivers, Disaster Relief State Plan Amendments, state and federal legislation, etc</w:t>
      </w:r>
      <w:r w:rsidR="00795DFE">
        <w:t>.</w:t>
      </w:r>
      <w:r w:rsidR="008E4E19" w:rsidRPr="008E4E19">
        <w:t>)</w:t>
      </w:r>
      <w:r w:rsidR="002C41D7">
        <w:t>,</w:t>
      </w:r>
      <w:r w:rsidR="008E4E19" w:rsidRPr="008E4E19">
        <w:t xml:space="preserve"> </w:t>
      </w:r>
      <w:r w:rsidR="00A002C5">
        <w:t xml:space="preserve">it may be helpful to </w:t>
      </w:r>
      <w:r w:rsidR="00B1258D">
        <w:t xml:space="preserve">include </w:t>
      </w:r>
      <w:r w:rsidR="00A002C5">
        <w:t xml:space="preserve">an attachment or hyperlink </w:t>
      </w:r>
      <w:r w:rsidR="008E4E19" w:rsidRPr="008E4E19">
        <w:t xml:space="preserve">so that they can be easily accessed and reviewed. </w:t>
      </w:r>
      <w:r w:rsidR="00795DFE">
        <w:t xml:space="preserve"> </w:t>
      </w:r>
      <w:r w:rsidR="00F34D93">
        <w:t xml:space="preserve">This will support </w:t>
      </w:r>
      <w:r w:rsidR="001E6DD0">
        <w:t>the</w:t>
      </w:r>
      <w:r w:rsidR="00F34D93">
        <w:t xml:space="preserve"> completi</w:t>
      </w:r>
      <w:r w:rsidR="001E6DD0">
        <w:t>o</w:t>
      </w:r>
      <w:r w:rsidR="00F34D93">
        <w:t>n</w:t>
      </w:r>
      <w:r w:rsidR="001E6DD0">
        <w:t xml:space="preserve"> of</w:t>
      </w:r>
      <w:r w:rsidR="00F34D93">
        <w:t xml:space="preserve"> Step </w:t>
      </w:r>
      <w:r w:rsidR="00F37ACE">
        <w:t>2</w:t>
      </w:r>
      <w:r w:rsidR="00F34D93">
        <w:t xml:space="preserve"> (identifying inherent risks) and </w:t>
      </w:r>
      <w:r w:rsidR="00A002C5">
        <w:t xml:space="preserve">help </w:t>
      </w:r>
      <w:r w:rsidR="00F34D93" w:rsidRPr="004506C8">
        <w:t xml:space="preserve">ensure </w:t>
      </w:r>
      <w:r w:rsidR="00A002C5">
        <w:t xml:space="preserve">that </w:t>
      </w:r>
      <w:r w:rsidR="00F34D93" w:rsidRPr="004506C8">
        <w:t xml:space="preserve">you </w:t>
      </w:r>
      <w:r w:rsidR="00F34D93">
        <w:t>have comprehensively identified</w:t>
      </w:r>
      <w:r w:rsidR="00F34D93" w:rsidRPr="004506C8">
        <w:t xml:space="preserve"> </w:t>
      </w:r>
      <w:r w:rsidR="00F34D93">
        <w:t>all related</w:t>
      </w:r>
      <w:r w:rsidR="00F34D93" w:rsidRPr="004506C8">
        <w:t xml:space="preserve"> </w:t>
      </w:r>
      <w:r w:rsidR="00F34D93">
        <w:t>risks</w:t>
      </w:r>
      <w:r w:rsidR="00F34D93" w:rsidRPr="004506C8">
        <w:t>.</w:t>
      </w:r>
      <w:r w:rsidR="003F06C7">
        <w:t xml:space="preserve"> </w:t>
      </w:r>
      <w:r w:rsidR="002C5649">
        <w:t xml:space="preserve">Because many of the approved waivers, flexibilities, and requirements implemented are temporary, it may be helpful to identify the Federal regulations or requirements impacted.  This will help reorient stakeholders to the policies and/or procedures they must comply with once the PHE </w:t>
      </w:r>
      <w:r w:rsidR="00131012">
        <w:t xml:space="preserve">has ended and states prepare to return to normal operations. </w:t>
      </w:r>
    </w:p>
    <w:p w14:paraId="2B43E7F3" w14:textId="45AE762B" w:rsidR="00F34D93" w:rsidRDefault="00F34D93" w:rsidP="004001C7">
      <w:r w:rsidRPr="005445E3">
        <w:rPr>
          <w:b/>
          <w:bCs/>
          <w:u w:val="single"/>
        </w:rPr>
        <w:t>Note</w:t>
      </w:r>
      <w:r>
        <w:rPr>
          <w:b/>
          <w:bCs/>
        </w:rPr>
        <w:t xml:space="preserve">: </w:t>
      </w:r>
      <w:r w:rsidR="00795DFE">
        <w:rPr>
          <w:b/>
          <w:bCs/>
        </w:rPr>
        <w:t xml:space="preserve"> </w:t>
      </w:r>
      <w:r w:rsidRPr="00A340B7">
        <w:t>While this step is helpful for assessing risks associated with COVID-19 PHE waivers</w:t>
      </w:r>
      <w:r w:rsidR="004C64EE">
        <w:t>,</w:t>
      </w:r>
      <w:r w:rsidRPr="00A340B7">
        <w:t xml:space="preserve"> flexibilities, </w:t>
      </w:r>
      <w:r w:rsidR="004C64EE">
        <w:t xml:space="preserve">and requirements, </w:t>
      </w:r>
      <w:r w:rsidRPr="00A340B7">
        <w:t xml:space="preserve">it may not be relevant in other contexts. </w:t>
      </w:r>
      <w:r w:rsidR="00795DFE">
        <w:t xml:space="preserve"> </w:t>
      </w:r>
      <w:r w:rsidRPr="00A340B7">
        <w:t xml:space="preserve">States can skip or modify this step as needed when </w:t>
      </w:r>
      <w:r>
        <w:t>applying</w:t>
      </w:r>
      <w:r w:rsidRPr="00A340B7">
        <w:t xml:space="preserve"> this template</w:t>
      </w:r>
      <w:r>
        <w:t xml:space="preserve"> to other scenarios</w:t>
      </w:r>
      <w:r w:rsidRPr="00A340B7">
        <w:t>.</w:t>
      </w:r>
    </w:p>
    <w:p w14:paraId="50F8329A" w14:textId="5CBA15C3" w:rsidR="0041347F" w:rsidRPr="004506C8" w:rsidRDefault="0041347F" w:rsidP="004001C7">
      <w:r w:rsidRPr="00635C69">
        <w:rPr>
          <w:b/>
          <w:bCs/>
          <w:sz w:val="20"/>
          <w:szCs w:val="20"/>
        </w:rPr>
        <w:t>Table 1. Identify Waivers, Flexibilities and Requirements</w:t>
      </w:r>
    </w:p>
    <w:tbl>
      <w:tblPr>
        <w:tblStyle w:val="TableGrid"/>
        <w:tblW w:w="14390" w:type="dxa"/>
        <w:tblLook w:val="04A0" w:firstRow="1" w:lastRow="0" w:firstColumn="1" w:lastColumn="0" w:noHBand="0" w:noVBand="1"/>
        <w:tblCaption w:val="Table 1. Identify Waivers, Flexibilities and Requirements"/>
      </w:tblPr>
      <w:tblGrid>
        <w:gridCol w:w="942"/>
        <w:gridCol w:w="5633"/>
        <w:gridCol w:w="3050"/>
        <w:gridCol w:w="2340"/>
        <w:gridCol w:w="2425"/>
      </w:tblGrid>
      <w:tr w:rsidR="003B156C" w14:paraId="183C3294" w14:textId="3E6BB82F" w:rsidTr="00D23596">
        <w:tc>
          <w:tcPr>
            <w:tcW w:w="942" w:type="dxa"/>
            <w:shd w:val="clear" w:color="auto" w:fill="223767"/>
          </w:tcPr>
          <w:p w14:paraId="3F32EA79" w14:textId="77777777" w:rsidR="003B156C" w:rsidRPr="00553B3C" w:rsidRDefault="003B156C" w:rsidP="008C4577">
            <w:pPr>
              <w:jc w:val="center"/>
              <w:rPr>
                <w:b/>
                <w:bCs/>
                <w:sz w:val="20"/>
                <w:szCs w:val="20"/>
              </w:rPr>
            </w:pPr>
            <w:r w:rsidRPr="00553B3C">
              <w:rPr>
                <w:b/>
                <w:bCs/>
                <w:sz w:val="20"/>
                <w:szCs w:val="20"/>
              </w:rPr>
              <w:t>Waiver #</w:t>
            </w:r>
          </w:p>
        </w:tc>
        <w:tc>
          <w:tcPr>
            <w:tcW w:w="5633" w:type="dxa"/>
            <w:shd w:val="clear" w:color="auto" w:fill="223767"/>
            <w:vAlign w:val="center"/>
          </w:tcPr>
          <w:p w14:paraId="1F59F2B6" w14:textId="77777777" w:rsidR="003B156C" w:rsidRPr="00553B3C" w:rsidRDefault="003B156C" w:rsidP="00D23596">
            <w:pPr>
              <w:jc w:val="center"/>
              <w:rPr>
                <w:b/>
                <w:bCs/>
                <w:sz w:val="20"/>
                <w:szCs w:val="20"/>
              </w:rPr>
            </w:pPr>
            <w:r w:rsidRPr="00553B3C">
              <w:rPr>
                <w:b/>
                <w:bCs/>
                <w:sz w:val="20"/>
                <w:szCs w:val="20"/>
              </w:rPr>
              <w:t>Waiver/Flexibility/Requirement Implemented by State</w:t>
            </w:r>
          </w:p>
        </w:tc>
        <w:tc>
          <w:tcPr>
            <w:tcW w:w="3050" w:type="dxa"/>
            <w:shd w:val="clear" w:color="auto" w:fill="223767"/>
            <w:vAlign w:val="center"/>
          </w:tcPr>
          <w:p w14:paraId="58C0DFEC" w14:textId="77777777" w:rsidR="003B156C" w:rsidRPr="00553B3C" w:rsidDel="00372CA7" w:rsidRDefault="003B156C" w:rsidP="00D23596">
            <w:pPr>
              <w:jc w:val="center"/>
              <w:rPr>
                <w:b/>
                <w:bCs/>
                <w:sz w:val="20"/>
                <w:szCs w:val="20"/>
              </w:rPr>
            </w:pPr>
            <w:r w:rsidRPr="00553B3C">
              <w:rPr>
                <w:b/>
                <w:bCs/>
                <w:sz w:val="20"/>
                <w:szCs w:val="20"/>
              </w:rPr>
              <w:t>Waiver/Flexibility/Requirement Category</w:t>
            </w:r>
          </w:p>
        </w:tc>
        <w:tc>
          <w:tcPr>
            <w:tcW w:w="2340" w:type="dxa"/>
            <w:shd w:val="clear" w:color="auto" w:fill="223767"/>
            <w:vAlign w:val="center"/>
          </w:tcPr>
          <w:p w14:paraId="7A5B3639" w14:textId="4A9596F5" w:rsidR="003B156C" w:rsidRPr="00553B3C" w:rsidRDefault="003B156C" w:rsidP="00D23596">
            <w:pPr>
              <w:jc w:val="center"/>
              <w:rPr>
                <w:b/>
                <w:bCs/>
                <w:sz w:val="20"/>
                <w:szCs w:val="20"/>
              </w:rPr>
            </w:pPr>
            <w:r w:rsidRPr="00553B3C">
              <w:rPr>
                <w:b/>
                <w:bCs/>
                <w:sz w:val="20"/>
                <w:szCs w:val="20"/>
              </w:rPr>
              <w:t>Policy Source(s)</w:t>
            </w:r>
            <w:r>
              <w:rPr>
                <w:rStyle w:val="FootnoteReference"/>
                <w:b/>
                <w:bCs/>
                <w:sz w:val="20"/>
                <w:szCs w:val="20"/>
              </w:rPr>
              <w:footnoteReference w:id="4"/>
            </w:r>
          </w:p>
        </w:tc>
        <w:tc>
          <w:tcPr>
            <w:tcW w:w="2425" w:type="dxa"/>
            <w:shd w:val="clear" w:color="auto" w:fill="223767"/>
            <w:vAlign w:val="center"/>
          </w:tcPr>
          <w:p w14:paraId="4585AC2B" w14:textId="7EBBEBFE" w:rsidR="003B156C" w:rsidRPr="00553B3C" w:rsidRDefault="00754593" w:rsidP="00D23596">
            <w:pPr>
              <w:jc w:val="center"/>
              <w:rPr>
                <w:b/>
                <w:bCs/>
                <w:sz w:val="20"/>
                <w:szCs w:val="20"/>
              </w:rPr>
            </w:pPr>
            <w:r>
              <w:rPr>
                <w:b/>
                <w:bCs/>
                <w:sz w:val="20"/>
                <w:szCs w:val="20"/>
              </w:rPr>
              <w:t>Relevant</w:t>
            </w:r>
            <w:r w:rsidR="0095221E" w:rsidRPr="0095221E">
              <w:rPr>
                <w:b/>
                <w:bCs/>
                <w:sz w:val="20"/>
                <w:szCs w:val="20"/>
              </w:rPr>
              <w:t xml:space="preserve"> Federal Regulations</w:t>
            </w:r>
            <w:r w:rsidR="00D62375">
              <w:rPr>
                <w:rStyle w:val="FootnoteReference"/>
                <w:b/>
                <w:bCs/>
                <w:sz w:val="20"/>
                <w:szCs w:val="20"/>
              </w:rPr>
              <w:footnoteReference w:id="5"/>
            </w:r>
          </w:p>
        </w:tc>
      </w:tr>
      <w:tr w:rsidR="003B156C" w14:paraId="6E018783" w14:textId="342ABB8C" w:rsidTr="00AC3890">
        <w:tc>
          <w:tcPr>
            <w:tcW w:w="942" w:type="dxa"/>
            <w:shd w:val="clear" w:color="auto" w:fill="auto"/>
          </w:tcPr>
          <w:p w14:paraId="586D13A2" w14:textId="77777777" w:rsidR="003B156C" w:rsidRPr="00553B3C" w:rsidRDefault="003B156C" w:rsidP="00561D23">
            <w:pPr>
              <w:rPr>
                <w:sz w:val="20"/>
                <w:szCs w:val="20"/>
              </w:rPr>
            </w:pPr>
            <w:r w:rsidRPr="00553B3C">
              <w:rPr>
                <w:sz w:val="20"/>
                <w:szCs w:val="20"/>
              </w:rPr>
              <w:t>1</w:t>
            </w:r>
          </w:p>
        </w:tc>
        <w:tc>
          <w:tcPr>
            <w:tcW w:w="5633" w:type="dxa"/>
            <w:shd w:val="clear" w:color="auto" w:fill="auto"/>
          </w:tcPr>
          <w:p w14:paraId="6B970CB5" w14:textId="77777777" w:rsidR="003B156C" w:rsidRDefault="003B156C" w:rsidP="00561D23">
            <w:r w:rsidRPr="006E74FF">
              <w:rPr>
                <w:b/>
                <w:bCs/>
              </w:rPr>
              <w:t>EXAMPLE</w:t>
            </w:r>
            <w:r>
              <w:t xml:space="preserve">:  </w:t>
            </w:r>
            <w:r w:rsidRPr="00553B3C">
              <w:rPr>
                <w:sz w:val="20"/>
                <w:szCs w:val="20"/>
              </w:rPr>
              <w:t>As a condition of receiving the increased 6.2 federal medical assistance percentage (FMAP) under the Families First Coronavirus Response Act (FFCRA) through the end of the month in which the PHE ends, states may not terminate coverage for validly enrolled individuals found ineligible based on a redetermination of eligibility at renewal (unless the beneficiary requests a voluntary termination of eligibility, or the state determines that the individual is no longer considered to be a resident of the state).</w:t>
            </w:r>
          </w:p>
        </w:tc>
        <w:tc>
          <w:tcPr>
            <w:tcW w:w="3050" w:type="dxa"/>
            <w:shd w:val="clear" w:color="auto" w:fill="auto"/>
          </w:tcPr>
          <w:p w14:paraId="1CCF7A4F" w14:textId="77777777" w:rsidR="003B156C" w:rsidRDefault="003B156C" w:rsidP="00561D23">
            <w:r w:rsidRPr="006E74FF">
              <w:rPr>
                <w:b/>
                <w:bCs/>
              </w:rPr>
              <w:t>EXAMPLE</w:t>
            </w:r>
            <w:r>
              <w:t xml:space="preserve">:  </w:t>
            </w:r>
            <w:r w:rsidRPr="00553B3C">
              <w:rPr>
                <w:sz w:val="20"/>
                <w:szCs w:val="20"/>
              </w:rPr>
              <w:t xml:space="preserve">Beneficiary Eligibility </w:t>
            </w:r>
          </w:p>
        </w:tc>
        <w:tc>
          <w:tcPr>
            <w:tcW w:w="2340" w:type="dxa"/>
            <w:shd w:val="clear" w:color="auto" w:fill="auto"/>
          </w:tcPr>
          <w:p w14:paraId="5E93FA98" w14:textId="2546DFA6" w:rsidR="003B156C" w:rsidRDefault="003B156C" w:rsidP="00561D23">
            <w:r w:rsidRPr="006E74FF">
              <w:rPr>
                <w:b/>
                <w:bCs/>
              </w:rPr>
              <w:t>EXAMPLE</w:t>
            </w:r>
            <w:r>
              <w:t xml:space="preserve">:  </w:t>
            </w:r>
            <w:hyperlink r:id="rId12" w:tooltip="Section 6008(b)(3) of the Families First Coronavirus Response Act" w:history="1">
              <w:r w:rsidRPr="00553B3C">
                <w:rPr>
                  <w:rStyle w:val="Hyperlink"/>
                  <w:sz w:val="20"/>
                  <w:szCs w:val="20"/>
                </w:rPr>
                <w:t>Section 6008(b)(3) of the Families First Coronavirus Response Act</w:t>
              </w:r>
            </w:hyperlink>
          </w:p>
        </w:tc>
        <w:tc>
          <w:tcPr>
            <w:tcW w:w="2425" w:type="dxa"/>
          </w:tcPr>
          <w:p w14:paraId="463B3687" w14:textId="1AFD2E04" w:rsidR="00907BB8" w:rsidRDefault="0095221E" w:rsidP="00561D23">
            <w:pPr>
              <w:rPr>
                <w:sz w:val="20"/>
              </w:rPr>
            </w:pPr>
            <w:r w:rsidRPr="003F06C7">
              <w:rPr>
                <w:b/>
                <w:bCs/>
                <w:sz w:val="20"/>
              </w:rPr>
              <w:t>E</w:t>
            </w:r>
            <w:r w:rsidR="00DF0CC7">
              <w:rPr>
                <w:b/>
                <w:bCs/>
                <w:sz w:val="20"/>
              </w:rPr>
              <w:t>XAMPLE</w:t>
            </w:r>
            <w:r w:rsidR="003F06C7" w:rsidRPr="003F06C7">
              <w:rPr>
                <w:bCs/>
                <w:sz w:val="20"/>
              </w:rPr>
              <w:t>:</w:t>
            </w:r>
            <w:r w:rsidR="003F06C7" w:rsidRPr="003F06C7">
              <w:rPr>
                <w:sz w:val="20"/>
              </w:rPr>
              <w:t xml:space="preserve"> </w:t>
            </w:r>
          </w:p>
          <w:p w14:paraId="6669C01A" w14:textId="5394FE3E" w:rsidR="00907BB8" w:rsidRPr="00CA7C61" w:rsidRDefault="00025C38" w:rsidP="00CA7C61">
            <w:pPr>
              <w:pStyle w:val="ListParagraph"/>
              <w:numPr>
                <w:ilvl w:val="0"/>
                <w:numId w:val="17"/>
              </w:numPr>
              <w:rPr>
                <w:bCs/>
                <w:sz w:val="20"/>
              </w:rPr>
            </w:pPr>
            <w:r>
              <w:rPr>
                <w:bCs/>
                <w:sz w:val="20"/>
              </w:rPr>
              <w:t xml:space="preserve">42 C.F.R. </w:t>
            </w:r>
            <w:r w:rsidR="003F06C7" w:rsidRPr="00652B24">
              <w:rPr>
                <w:bCs/>
                <w:sz w:val="20"/>
              </w:rPr>
              <w:t>§</w:t>
            </w:r>
            <w:r>
              <w:rPr>
                <w:bCs/>
                <w:sz w:val="20"/>
              </w:rPr>
              <w:t xml:space="preserve"> </w:t>
            </w:r>
            <w:r w:rsidR="003F06C7" w:rsidRPr="00652B24">
              <w:rPr>
                <w:bCs/>
                <w:sz w:val="20"/>
              </w:rPr>
              <w:t>435.9</w:t>
            </w:r>
            <w:r>
              <w:rPr>
                <w:bCs/>
                <w:sz w:val="20"/>
              </w:rPr>
              <w:t>16:</w:t>
            </w:r>
            <w:r w:rsidR="003F06C7" w:rsidRPr="00652B24">
              <w:rPr>
                <w:bCs/>
                <w:sz w:val="20"/>
              </w:rPr>
              <w:t xml:space="preserve"> </w:t>
            </w:r>
            <w:r>
              <w:rPr>
                <w:bCs/>
                <w:sz w:val="20"/>
              </w:rPr>
              <w:t xml:space="preserve"> Periodic Renewal of Medicaid Eligibility</w:t>
            </w:r>
          </w:p>
        </w:tc>
      </w:tr>
      <w:tr w:rsidR="003B156C" w14:paraId="00BE3E8F" w14:textId="01FB81E9" w:rsidTr="00AC3890">
        <w:tc>
          <w:tcPr>
            <w:tcW w:w="942" w:type="dxa"/>
          </w:tcPr>
          <w:p w14:paraId="4BB894D1" w14:textId="77777777" w:rsidR="003B156C" w:rsidRPr="00553B3C" w:rsidRDefault="003B156C" w:rsidP="00561D23">
            <w:pPr>
              <w:rPr>
                <w:sz w:val="20"/>
                <w:szCs w:val="20"/>
              </w:rPr>
            </w:pPr>
            <w:r w:rsidRPr="00553B3C">
              <w:rPr>
                <w:sz w:val="20"/>
                <w:szCs w:val="20"/>
              </w:rPr>
              <w:t>2</w:t>
            </w:r>
          </w:p>
        </w:tc>
        <w:tc>
          <w:tcPr>
            <w:tcW w:w="5633" w:type="dxa"/>
          </w:tcPr>
          <w:p w14:paraId="0331E2E2" w14:textId="42EFA870" w:rsidR="003B156C" w:rsidRPr="00553B3C" w:rsidRDefault="003B156C" w:rsidP="00561D23">
            <w:pPr>
              <w:rPr>
                <w:sz w:val="20"/>
                <w:szCs w:val="20"/>
              </w:rPr>
            </w:pPr>
          </w:p>
        </w:tc>
        <w:tc>
          <w:tcPr>
            <w:tcW w:w="3050" w:type="dxa"/>
          </w:tcPr>
          <w:p w14:paraId="2BD99A1F" w14:textId="6DF09E23" w:rsidR="003B156C" w:rsidRPr="00553B3C" w:rsidRDefault="003B156C" w:rsidP="00561D23">
            <w:pPr>
              <w:rPr>
                <w:sz w:val="20"/>
                <w:szCs w:val="20"/>
              </w:rPr>
            </w:pPr>
          </w:p>
        </w:tc>
        <w:tc>
          <w:tcPr>
            <w:tcW w:w="2340" w:type="dxa"/>
          </w:tcPr>
          <w:p w14:paraId="55FA5C92" w14:textId="15EA6C04" w:rsidR="003B156C" w:rsidRPr="00553B3C" w:rsidRDefault="003B156C" w:rsidP="00561D23">
            <w:pPr>
              <w:rPr>
                <w:sz w:val="20"/>
                <w:szCs w:val="20"/>
              </w:rPr>
            </w:pPr>
          </w:p>
        </w:tc>
        <w:tc>
          <w:tcPr>
            <w:tcW w:w="2425" w:type="dxa"/>
          </w:tcPr>
          <w:p w14:paraId="28B380AB" w14:textId="77777777" w:rsidR="003B156C" w:rsidRPr="00553B3C" w:rsidRDefault="003B156C" w:rsidP="00561D23">
            <w:pPr>
              <w:rPr>
                <w:sz w:val="20"/>
                <w:szCs w:val="20"/>
              </w:rPr>
            </w:pPr>
          </w:p>
        </w:tc>
      </w:tr>
      <w:tr w:rsidR="003B156C" w14:paraId="3D52D406" w14:textId="095BDC5F" w:rsidTr="00AC3890">
        <w:tc>
          <w:tcPr>
            <w:tcW w:w="942" w:type="dxa"/>
          </w:tcPr>
          <w:p w14:paraId="1D72AE8C" w14:textId="77777777" w:rsidR="003B156C" w:rsidRPr="00553B3C" w:rsidRDefault="003B156C" w:rsidP="00561D23">
            <w:pPr>
              <w:rPr>
                <w:sz w:val="20"/>
                <w:szCs w:val="20"/>
              </w:rPr>
            </w:pPr>
            <w:r w:rsidRPr="00553B3C">
              <w:rPr>
                <w:sz w:val="20"/>
                <w:szCs w:val="20"/>
              </w:rPr>
              <w:t>3</w:t>
            </w:r>
          </w:p>
        </w:tc>
        <w:tc>
          <w:tcPr>
            <w:tcW w:w="5633" w:type="dxa"/>
          </w:tcPr>
          <w:p w14:paraId="539EE5FC" w14:textId="7F1DB71C" w:rsidR="003B156C" w:rsidRPr="00553B3C" w:rsidRDefault="003B156C" w:rsidP="00561D23">
            <w:pPr>
              <w:rPr>
                <w:sz w:val="20"/>
                <w:szCs w:val="20"/>
              </w:rPr>
            </w:pPr>
          </w:p>
        </w:tc>
        <w:tc>
          <w:tcPr>
            <w:tcW w:w="3050" w:type="dxa"/>
          </w:tcPr>
          <w:p w14:paraId="11E9D193" w14:textId="60AD2851" w:rsidR="003B156C" w:rsidRPr="00553B3C" w:rsidRDefault="003B156C" w:rsidP="00561D23">
            <w:pPr>
              <w:rPr>
                <w:sz w:val="20"/>
                <w:szCs w:val="20"/>
              </w:rPr>
            </w:pPr>
          </w:p>
        </w:tc>
        <w:tc>
          <w:tcPr>
            <w:tcW w:w="2340" w:type="dxa"/>
          </w:tcPr>
          <w:p w14:paraId="5219A81A" w14:textId="5D3E809C" w:rsidR="003B156C" w:rsidRPr="00553B3C" w:rsidRDefault="003B156C" w:rsidP="00561D23">
            <w:pPr>
              <w:rPr>
                <w:sz w:val="20"/>
                <w:szCs w:val="20"/>
              </w:rPr>
            </w:pPr>
          </w:p>
        </w:tc>
        <w:tc>
          <w:tcPr>
            <w:tcW w:w="2425" w:type="dxa"/>
          </w:tcPr>
          <w:p w14:paraId="2421CE21" w14:textId="77777777" w:rsidR="003B156C" w:rsidRPr="00553B3C" w:rsidRDefault="003B156C" w:rsidP="00561D23">
            <w:pPr>
              <w:rPr>
                <w:sz w:val="20"/>
                <w:szCs w:val="20"/>
              </w:rPr>
            </w:pPr>
          </w:p>
        </w:tc>
      </w:tr>
      <w:tr w:rsidR="003B156C" w14:paraId="1AA83E56" w14:textId="4A153A08" w:rsidTr="00AC3890">
        <w:tc>
          <w:tcPr>
            <w:tcW w:w="942" w:type="dxa"/>
          </w:tcPr>
          <w:p w14:paraId="38153C6A" w14:textId="77777777" w:rsidR="003B156C" w:rsidRPr="00553B3C" w:rsidRDefault="003B156C" w:rsidP="00561D23">
            <w:pPr>
              <w:rPr>
                <w:sz w:val="20"/>
                <w:szCs w:val="20"/>
              </w:rPr>
            </w:pPr>
            <w:r w:rsidRPr="00553B3C">
              <w:rPr>
                <w:sz w:val="20"/>
                <w:szCs w:val="20"/>
              </w:rPr>
              <w:t>5</w:t>
            </w:r>
          </w:p>
        </w:tc>
        <w:tc>
          <w:tcPr>
            <w:tcW w:w="5633" w:type="dxa"/>
          </w:tcPr>
          <w:p w14:paraId="21BB82CE" w14:textId="3206B8FD" w:rsidR="003B156C" w:rsidRPr="00553B3C" w:rsidRDefault="003B156C" w:rsidP="00561D23">
            <w:pPr>
              <w:rPr>
                <w:sz w:val="20"/>
                <w:szCs w:val="20"/>
              </w:rPr>
            </w:pPr>
          </w:p>
        </w:tc>
        <w:tc>
          <w:tcPr>
            <w:tcW w:w="3050" w:type="dxa"/>
          </w:tcPr>
          <w:p w14:paraId="3195D993" w14:textId="20A47870" w:rsidR="003B156C" w:rsidRPr="00553B3C" w:rsidRDefault="003B156C" w:rsidP="00561D23">
            <w:pPr>
              <w:rPr>
                <w:sz w:val="20"/>
                <w:szCs w:val="20"/>
              </w:rPr>
            </w:pPr>
          </w:p>
        </w:tc>
        <w:tc>
          <w:tcPr>
            <w:tcW w:w="2340" w:type="dxa"/>
          </w:tcPr>
          <w:p w14:paraId="5CC8B3D8" w14:textId="41D8D27D" w:rsidR="003B156C" w:rsidRPr="00553B3C" w:rsidRDefault="003B156C" w:rsidP="00561D23">
            <w:pPr>
              <w:rPr>
                <w:sz w:val="20"/>
                <w:szCs w:val="20"/>
              </w:rPr>
            </w:pPr>
          </w:p>
        </w:tc>
        <w:tc>
          <w:tcPr>
            <w:tcW w:w="2425" w:type="dxa"/>
          </w:tcPr>
          <w:p w14:paraId="2B600FFC" w14:textId="77777777" w:rsidR="003B156C" w:rsidRPr="00553B3C" w:rsidRDefault="003B156C" w:rsidP="00561D23">
            <w:pPr>
              <w:rPr>
                <w:sz w:val="20"/>
                <w:szCs w:val="20"/>
              </w:rPr>
            </w:pPr>
          </w:p>
        </w:tc>
      </w:tr>
      <w:tr w:rsidR="003B156C" w14:paraId="031D2F5D" w14:textId="1F52108A" w:rsidTr="00AC3890">
        <w:tc>
          <w:tcPr>
            <w:tcW w:w="942" w:type="dxa"/>
          </w:tcPr>
          <w:p w14:paraId="436C2D0D" w14:textId="77777777" w:rsidR="003B156C" w:rsidRPr="00553B3C" w:rsidRDefault="003B156C" w:rsidP="00561D23">
            <w:pPr>
              <w:rPr>
                <w:sz w:val="20"/>
                <w:szCs w:val="20"/>
              </w:rPr>
            </w:pPr>
            <w:r w:rsidRPr="00553B3C">
              <w:rPr>
                <w:sz w:val="20"/>
                <w:szCs w:val="20"/>
              </w:rPr>
              <w:t>6</w:t>
            </w:r>
          </w:p>
        </w:tc>
        <w:tc>
          <w:tcPr>
            <w:tcW w:w="5633" w:type="dxa"/>
          </w:tcPr>
          <w:p w14:paraId="28093453" w14:textId="46F399A7" w:rsidR="003B156C" w:rsidRPr="00553B3C" w:rsidRDefault="003B156C" w:rsidP="00561D23">
            <w:pPr>
              <w:rPr>
                <w:sz w:val="20"/>
                <w:szCs w:val="20"/>
              </w:rPr>
            </w:pPr>
          </w:p>
        </w:tc>
        <w:tc>
          <w:tcPr>
            <w:tcW w:w="3050" w:type="dxa"/>
          </w:tcPr>
          <w:p w14:paraId="04291D83" w14:textId="5589C056" w:rsidR="003B156C" w:rsidRPr="00553B3C" w:rsidRDefault="003B156C" w:rsidP="00561D23">
            <w:pPr>
              <w:rPr>
                <w:sz w:val="20"/>
                <w:szCs w:val="20"/>
              </w:rPr>
            </w:pPr>
          </w:p>
        </w:tc>
        <w:tc>
          <w:tcPr>
            <w:tcW w:w="2340" w:type="dxa"/>
          </w:tcPr>
          <w:p w14:paraId="385DD766" w14:textId="360FDBE1" w:rsidR="003B156C" w:rsidRPr="00553B3C" w:rsidRDefault="003B156C" w:rsidP="00561D23">
            <w:pPr>
              <w:rPr>
                <w:sz w:val="20"/>
                <w:szCs w:val="20"/>
              </w:rPr>
            </w:pPr>
          </w:p>
        </w:tc>
        <w:tc>
          <w:tcPr>
            <w:tcW w:w="2425" w:type="dxa"/>
          </w:tcPr>
          <w:p w14:paraId="2A513761" w14:textId="77777777" w:rsidR="003B156C" w:rsidRPr="00553B3C" w:rsidRDefault="003B156C" w:rsidP="00561D23">
            <w:pPr>
              <w:rPr>
                <w:sz w:val="20"/>
                <w:szCs w:val="20"/>
              </w:rPr>
            </w:pPr>
          </w:p>
        </w:tc>
      </w:tr>
      <w:tr w:rsidR="003B156C" w14:paraId="507D968A" w14:textId="08C65564" w:rsidTr="00AC3890">
        <w:tc>
          <w:tcPr>
            <w:tcW w:w="942" w:type="dxa"/>
          </w:tcPr>
          <w:p w14:paraId="11AEA4F5" w14:textId="77777777" w:rsidR="003B156C" w:rsidRPr="00553B3C" w:rsidRDefault="003B156C" w:rsidP="00561D23">
            <w:pPr>
              <w:rPr>
                <w:sz w:val="20"/>
                <w:szCs w:val="20"/>
              </w:rPr>
            </w:pPr>
            <w:r w:rsidRPr="00553B3C">
              <w:rPr>
                <w:sz w:val="20"/>
                <w:szCs w:val="20"/>
              </w:rPr>
              <w:t>7</w:t>
            </w:r>
          </w:p>
        </w:tc>
        <w:tc>
          <w:tcPr>
            <w:tcW w:w="5633" w:type="dxa"/>
          </w:tcPr>
          <w:p w14:paraId="73FAF7E3" w14:textId="0A5A6A0C" w:rsidR="003B156C" w:rsidRPr="00553B3C" w:rsidRDefault="003B156C" w:rsidP="00561D23">
            <w:pPr>
              <w:rPr>
                <w:sz w:val="20"/>
                <w:szCs w:val="20"/>
              </w:rPr>
            </w:pPr>
          </w:p>
        </w:tc>
        <w:tc>
          <w:tcPr>
            <w:tcW w:w="3050" w:type="dxa"/>
          </w:tcPr>
          <w:p w14:paraId="7E04A8BC" w14:textId="03D6766C" w:rsidR="003B156C" w:rsidRPr="00553B3C" w:rsidRDefault="003B156C" w:rsidP="00561D23">
            <w:pPr>
              <w:rPr>
                <w:sz w:val="20"/>
                <w:szCs w:val="20"/>
              </w:rPr>
            </w:pPr>
          </w:p>
        </w:tc>
        <w:tc>
          <w:tcPr>
            <w:tcW w:w="2340" w:type="dxa"/>
          </w:tcPr>
          <w:p w14:paraId="13CA3C72" w14:textId="197311BF" w:rsidR="003B156C" w:rsidRPr="00553B3C" w:rsidRDefault="003B156C" w:rsidP="00561D23">
            <w:pPr>
              <w:rPr>
                <w:sz w:val="20"/>
                <w:szCs w:val="20"/>
              </w:rPr>
            </w:pPr>
          </w:p>
        </w:tc>
        <w:tc>
          <w:tcPr>
            <w:tcW w:w="2425" w:type="dxa"/>
          </w:tcPr>
          <w:p w14:paraId="3BC685F1" w14:textId="77777777" w:rsidR="003B156C" w:rsidRPr="00553B3C" w:rsidRDefault="003B156C" w:rsidP="00561D23">
            <w:pPr>
              <w:rPr>
                <w:sz w:val="20"/>
                <w:szCs w:val="20"/>
              </w:rPr>
            </w:pPr>
          </w:p>
        </w:tc>
      </w:tr>
      <w:tr w:rsidR="003B156C" w14:paraId="58FE65EA" w14:textId="4A0D3342" w:rsidTr="00AC3890">
        <w:tc>
          <w:tcPr>
            <w:tcW w:w="942" w:type="dxa"/>
          </w:tcPr>
          <w:p w14:paraId="7D04FDA7" w14:textId="77777777" w:rsidR="003B156C" w:rsidRPr="00553B3C" w:rsidRDefault="003B156C" w:rsidP="00561D23">
            <w:pPr>
              <w:rPr>
                <w:sz w:val="20"/>
                <w:szCs w:val="20"/>
              </w:rPr>
            </w:pPr>
            <w:r w:rsidRPr="00553B3C">
              <w:rPr>
                <w:sz w:val="20"/>
                <w:szCs w:val="20"/>
              </w:rPr>
              <w:t>8</w:t>
            </w:r>
          </w:p>
        </w:tc>
        <w:tc>
          <w:tcPr>
            <w:tcW w:w="5633" w:type="dxa"/>
          </w:tcPr>
          <w:p w14:paraId="4383E17C" w14:textId="49A301AF" w:rsidR="003B156C" w:rsidRPr="00553B3C" w:rsidRDefault="003B156C" w:rsidP="00561D23">
            <w:pPr>
              <w:rPr>
                <w:sz w:val="20"/>
                <w:szCs w:val="20"/>
              </w:rPr>
            </w:pPr>
          </w:p>
        </w:tc>
        <w:tc>
          <w:tcPr>
            <w:tcW w:w="3050" w:type="dxa"/>
          </w:tcPr>
          <w:p w14:paraId="356E2897" w14:textId="383C7EBA" w:rsidR="003B156C" w:rsidRPr="00553B3C" w:rsidRDefault="003B156C" w:rsidP="00561D23">
            <w:pPr>
              <w:rPr>
                <w:sz w:val="20"/>
                <w:szCs w:val="20"/>
              </w:rPr>
            </w:pPr>
          </w:p>
        </w:tc>
        <w:tc>
          <w:tcPr>
            <w:tcW w:w="2340" w:type="dxa"/>
          </w:tcPr>
          <w:p w14:paraId="5E17FAD3" w14:textId="6E7C790B" w:rsidR="003B156C" w:rsidRPr="00553B3C" w:rsidRDefault="003B156C" w:rsidP="00561D23">
            <w:pPr>
              <w:rPr>
                <w:sz w:val="20"/>
                <w:szCs w:val="20"/>
              </w:rPr>
            </w:pPr>
          </w:p>
        </w:tc>
        <w:tc>
          <w:tcPr>
            <w:tcW w:w="2425" w:type="dxa"/>
          </w:tcPr>
          <w:p w14:paraId="77745A78" w14:textId="77777777" w:rsidR="003B156C" w:rsidRPr="00553B3C" w:rsidRDefault="003B156C" w:rsidP="00561D23">
            <w:pPr>
              <w:rPr>
                <w:sz w:val="20"/>
                <w:szCs w:val="20"/>
              </w:rPr>
            </w:pPr>
          </w:p>
        </w:tc>
      </w:tr>
    </w:tbl>
    <w:p w14:paraId="25A44A1F" w14:textId="77777777" w:rsidR="00FC5388" w:rsidRDefault="00FC5388">
      <w:pPr>
        <w:rPr>
          <w:b/>
          <w:bCs/>
        </w:rPr>
        <w:sectPr w:rsidR="00FC5388" w:rsidSect="00F34D93">
          <w:footerReference w:type="default" r:id="rId13"/>
          <w:pgSz w:w="15840" w:h="12240" w:orient="landscape"/>
          <w:pgMar w:top="720" w:right="720" w:bottom="720" w:left="720" w:header="720" w:footer="720" w:gutter="0"/>
          <w:cols w:space="720"/>
          <w:docGrid w:linePitch="360"/>
        </w:sectPr>
      </w:pPr>
    </w:p>
    <w:p w14:paraId="424BCA46" w14:textId="5F0032A8" w:rsidR="00F34D93" w:rsidRDefault="00F34D93" w:rsidP="009A46CB">
      <w:pPr>
        <w:outlineLvl w:val="1"/>
        <w:rPr>
          <w:b/>
          <w:bCs/>
        </w:rPr>
      </w:pPr>
      <w:r w:rsidRPr="0012513E">
        <w:rPr>
          <w:b/>
          <w:bCs/>
        </w:rPr>
        <w:lastRenderedPageBreak/>
        <w:t xml:space="preserve">Step </w:t>
      </w:r>
      <w:r w:rsidR="00F37ACE">
        <w:rPr>
          <w:b/>
          <w:bCs/>
        </w:rPr>
        <w:t>2</w:t>
      </w:r>
      <w:r w:rsidRPr="0012513E">
        <w:rPr>
          <w:b/>
          <w:bCs/>
        </w:rPr>
        <w:t>.</w:t>
      </w:r>
      <w:r>
        <w:t xml:space="preserve"> </w:t>
      </w:r>
      <w:r w:rsidRPr="001B242A">
        <w:rPr>
          <w:b/>
          <w:bCs/>
        </w:rPr>
        <w:t>Identify inherent risks affecting the program</w:t>
      </w:r>
    </w:p>
    <w:p w14:paraId="709BBA9D" w14:textId="5700F001" w:rsidR="00142091" w:rsidRDefault="00F34D93" w:rsidP="0017111D">
      <w:r>
        <w:t>This step involves identifying and documenting all program risks</w:t>
      </w:r>
      <w:r w:rsidR="00804DC1">
        <w:t xml:space="preserve"> </w:t>
      </w:r>
      <w:r w:rsidR="00D300DE">
        <w:t>(</w:t>
      </w:r>
      <w:r w:rsidR="00804DC1">
        <w:t>related to the waivers and flexibilities identified in</w:t>
      </w:r>
      <w:r w:rsidR="00993DB0">
        <w:t xml:space="preserve"> Table</w:t>
      </w:r>
      <w:r w:rsidR="00804DC1">
        <w:t xml:space="preserve"> 1</w:t>
      </w:r>
      <w:r w:rsidR="00D300DE">
        <w:t>)</w:t>
      </w:r>
      <w:r w:rsidR="00804DC1">
        <w:t xml:space="preserve"> that the state identifies as “</w:t>
      </w:r>
      <w:r>
        <w:t>inherent</w:t>
      </w:r>
      <w:r w:rsidR="00804DC1">
        <w:t xml:space="preserve">.” </w:t>
      </w:r>
      <w:r>
        <w:t>Risks considered “inherent” are those that exist prior to considering the state’s response to them.</w:t>
      </w:r>
      <w:r>
        <w:rPr>
          <w:rStyle w:val="FootnoteReference"/>
        </w:rPr>
        <w:footnoteReference w:id="6"/>
      </w:r>
      <w:r>
        <w:t xml:space="preserve"> </w:t>
      </w:r>
      <w:r w:rsidR="00441C97">
        <w:t xml:space="preserve"> </w:t>
      </w:r>
      <w:r>
        <w:t xml:space="preserve">To </w:t>
      </w:r>
      <w:r w:rsidR="00792AC0">
        <w:t>fully</w:t>
      </w:r>
      <w:r>
        <w:t xml:space="preserve"> identify all potential </w:t>
      </w:r>
      <w:r w:rsidR="00804DC1">
        <w:t xml:space="preserve">inherent </w:t>
      </w:r>
      <w:r>
        <w:t xml:space="preserve">risks, this step may include engagement with a </w:t>
      </w:r>
      <w:r w:rsidR="00792AC0">
        <w:t xml:space="preserve">diverse </w:t>
      </w:r>
      <w:r>
        <w:t>range of stakeholders.</w:t>
      </w:r>
      <w:r w:rsidR="00441C97">
        <w:t xml:space="preserve"> </w:t>
      </w:r>
      <w:r>
        <w:t xml:space="preserve"> </w:t>
      </w:r>
      <w:r w:rsidR="00142091">
        <w:t>Relevant stakeholders are individuals who are in a position to understand and recognize potential risks to the programs being assessed.  These could be internal stakeholders, such as other department</w:t>
      </w:r>
      <w:r w:rsidR="002B2FD1">
        <w:t>s</w:t>
      </w:r>
      <w:r w:rsidR="00142091">
        <w:t xml:space="preserve"> or divisions within the agency, or external stakeholders such as federal agencies and contractors.  The types of waivers and flexibilities implemented will determine the types of stakeholders to be included in the risk assessment.  To ensure stakeholders efforts are focused on waivers and flexibility risks most relevant to them, it may be helpful to group and assign inherent risk</w:t>
      </w:r>
      <w:r w:rsidR="002B2FD1">
        <w:t>s</w:t>
      </w:r>
      <w:r w:rsidR="00142091">
        <w:t xml:space="preserve"> together based on their designated categories of risk.</w:t>
      </w:r>
    </w:p>
    <w:p w14:paraId="21531B6A" w14:textId="77777777" w:rsidR="00F34D93" w:rsidRDefault="00D300DE" w:rsidP="0017111D">
      <w:r>
        <w:t xml:space="preserve">A </w:t>
      </w:r>
      <w:r w:rsidR="00F34D93">
        <w:t>comprehensive assessment</w:t>
      </w:r>
      <w:r>
        <w:t xml:space="preserve"> of inherent risks</w:t>
      </w:r>
      <w:r w:rsidR="00F34D93">
        <w:t xml:space="preserve"> may involve a variety of information gathering activities</w:t>
      </w:r>
      <w:r w:rsidR="00804DC1">
        <w:t>,</w:t>
      </w:r>
      <w:r w:rsidR="00F34D93">
        <w:t xml:space="preserve"> such as staff interviews, environmental scans, and review</w:t>
      </w:r>
      <w:r w:rsidR="00A30718">
        <w:t>s</w:t>
      </w:r>
      <w:r w:rsidR="00F34D93">
        <w:t xml:space="preserve"> of program audits and evaluation reports</w:t>
      </w:r>
      <w:r w:rsidR="00A30718">
        <w:t>;</w:t>
      </w:r>
      <w:r>
        <w:t xml:space="preserve"> h</w:t>
      </w:r>
      <w:r w:rsidR="00990EC2">
        <w:t xml:space="preserve">owever, </w:t>
      </w:r>
      <w:r w:rsidR="00A30718">
        <w:t>not all of</w:t>
      </w:r>
      <w:r w:rsidR="00990EC2">
        <w:t xml:space="preserve"> these activities may be</w:t>
      </w:r>
      <w:r w:rsidR="005E6C7F">
        <w:t xml:space="preserve"> feasible </w:t>
      </w:r>
      <w:r w:rsidR="00990EC2">
        <w:t>when evaluating PHE risks</w:t>
      </w:r>
      <w:r>
        <w:t>.</w:t>
      </w:r>
      <w:r w:rsidR="00990EC2">
        <w:t xml:space="preserve"> </w:t>
      </w:r>
      <w:r w:rsidR="00185AD6">
        <w:t xml:space="preserve"> </w:t>
      </w:r>
      <w:r>
        <w:t>S</w:t>
      </w:r>
      <w:r w:rsidR="00990EC2">
        <w:t xml:space="preserve">tates should </w:t>
      </w:r>
      <w:r w:rsidR="00B4446E">
        <w:t>balance the need for a thorough assessment with the speed/urgency needed to conduct the assessment, existing resources, and other priorities when determining an approach for information gathering.</w:t>
      </w:r>
    </w:p>
    <w:p w14:paraId="0C4F6716" w14:textId="77777777" w:rsidR="00F34D93" w:rsidRDefault="00F34D93" w:rsidP="00A6740F">
      <w:r>
        <w:t>At a minimum</w:t>
      </w:r>
      <w:r w:rsidR="00792AC0">
        <w:t>,</w:t>
      </w:r>
      <w:r>
        <w:t xml:space="preserve"> the following details should be noted for each identified inherent risk:</w:t>
      </w:r>
    </w:p>
    <w:p w14:paraId="5D326599" w14:textId="77777777" w:rsidR="00F34D93" w:rsidRDefault="00F34D93" w:rsidP="002A7235">
      <w:pPr>
        <w:pStyle w:val="ListParagraph"/>
        <w:numPr>
          <w:ilvl w:val="0"/>
          <w:numId w:val="1"/>
        </w:numPr>
        <w:spacing w:after="0"/>
      </w:pPr>
      <w:r w:rsidRPr="002E08BC">
        <w:rPr>
          <w:b/>
          <w:bCs/>
        </w:rPr>
        <w:t>Description of the risk</w:t>
      </w:r>
      <w:r w:rsidR="00441C97">
        <w:t xml:space="preserve">: </w:t>
      </w:r>
      <w:r>
        <w:t xml:space="preserve"> This </w:t>
      </w:r>
      <w:r w:rsidR="00804DC1">
        <w:t xml:space="preserve">column </w:t>
      </w:r>
      <w:r>
        <w:t xml:space="preserve">captures the nature of the risk (e.g., beneficiaries </w:t>
      </w:r>
      <w:r w:rsidRPr="00C14F5E">
        <w:t xml:space="preserve">enrolled through the optional COVID-19 testing category </w:t>
      </w:r>
      <w:r>
        <w:t>are improperly</w:t>
      </w:r>
      <w:r w:rsidRPr="00C14F5E">
        <w:t xml:space="preserve"> enrolled into other eligibility categories</w:t>
      </w:r>
      <w:r>
        <w:t>;</w:t>
      </w:r>
      <w:r w:rsidRPr="00C14F5E">
        <w:t xml:space="preserve"> </w:t>
      </w:r>
      <w:r>
        <w:t>improperly</w:t>
      </w:r>
      <w:r w:rsidRPr="00C14F5E">
        <w:t xml:space="preserve"> restrictive eligibility standards </w:t>
      </w:r>
      <w:r w:rsidR="003B43EE">
        <w:t>may result in adverse audit findings triggering a recovery of federal funds</w:t>
      </w:r>
      <w:r>
        <w:t>)</w:t>
      </w:r>
      <w:r w:rsidR="00614312">
        <w:t>.</w:t>
      </w:r>
      <w:r w:rsidR="00CD517B">
        <w:t xml:space="preserve"> States may also choose to note the specific number or numbers of the waiver(s), flexibility(s), or requirement(s) associated with the inherent risk in parenthesis </w:t>
      </w:r>
      <w:r w:rsidR="004C64EE">
        <w:t xml:space="preserve">from Table 1 </w:t>
      </w:r>
      <w:r w:rsidR="00CD517B">
        <w:t>to allow for easy reference throughout each step.</w:t>
      </w:r>
      <w:r w:rsidR="00311716">
        <w:t xml:space="preserve"> </w:t>
      </w:r>
      <w:r w:rsidR="0021487B">
        <w:t xml:space="preserve"> </w:t>
      </w:r>
      <w:r w:rsidR="00311716">
        <w:t xml:space="preserve">However, </w:t>
      </w:r>
      <w:r w:rsidR="00125C1D">
        <w:t>if</w:t>
      </w:r>
      <w:r w:rsidR="00311716">
        <w:t xml:space="preserve"> states re</w:t>
      </w:r>
      <w:r w:rsidR="00E30816">
        <w:t>-</w:t>
      </w:r>
      <w:r w:rsidR="00311716">
        <w:t>number the waivers/flexibilities</w:t>
      </w:r>
      <w:r w:rsidR="00E30816">
        <w:t>,</w:t>
      </w:r>
      <w:r w:rsidR="00311716">
        <w:t xml:space="preserve"> </w:t>
      </w:r>
      <w:r w:rsidR="00125C1D">
        <w:t>it may cause</w:t>
      </w:r>
      <w:r w:rsidR="00311716">
        <w:t xml:space="preserve"> issues with numbering</w:t>
      </w:r>
      <w:r w:rsidR="00BA2DA9">
        <w:t xml:space="preserve"> in Table 1</w:t>
      </w:r>
      <w:r w:rsidR="00311716">
        <w:t xml:space="preserve"> not aligning with </w:t>
      </w:r>
      <w:r w:rsidR="00BA2DA9">
        <w:t>Tables 2-8</w:t>
      </w:r>
      <w:r w:rsidR="00311716">
        <w:t>.</w:t>
      </w:r>
    </w:p>
    <w:p w14:paraId="717077AB" w14:textId="77777777" w:rsidR="00F34D93" w:rsidRDefault="00F34D93" w:rsidP="00A6740F">
      <w:pPr>
        <w:pStyle w:val="ListParagraph"/>
        <w:numPr>
          <w:ilvl w:val="0"/>
          <w:numId w:val="1"/>
        </w:numPr>
      </w:pPr>
      <w:r w:rsidRPr="002E08BC">
        <w:rPr>
          <w:b/>
          <w:bCs/>
        </w:rPr>
        <w:t>Category of risk</w:t>
      </w:r>
      <w:r w:rsidR="00441C97">
        <w:rPr>
          <w:b/>
          <w:bCs/>
        </w:rPr>
        <w:t xml:space="preserve">: </w:t>
      </w:r>
      <w:r>
        <w:rPr>
          <w:b/>
          <w:bCs/>
        </w:rPr>
        <w:t xml:space="preserve"> </w:t>
      </w:r>
      <w:r>
        <w:t>This column captures the broad type of risk with respect to the program (e.g., improper enrollment or reenrollment determination; receipt of category of services for which beneficiary is not eligible; claiming of FFP at an improper FMAP match rate)</w:t>
      </w:r>
      <w:r w:rsidR="002C1A6B">
        <w:t xml:space="preserve">.  Risks that fall within the same category in many instances may be mitigated by the same or similar mitigations. </w:t>
      </w:r>
      <w:r w:rsidR="00D44AE2">
        <w:t>One or more risk categories can be assigned as needed.</w:t>
      </w:r>
    </w:p>
    <w:p w14:paraId="02ABDA34" w14:textId="58F430C2" w:rsidR="001566A5" w:rsidRPr="00B20ECC" w:rsidRDefault="00A54D61" w:rsidP="00A6740F">
      <w:pPr>
        <w:pStyle w:val="ListParagraph"/>
        <w:numPr>
          <w:ilvl w:val="0"/>
          <w:numId w:val="1"/>
        </w:numPr>
      </w:pPr>
      <w:r>
        <w:rPr>
          <w:b/>
          <w:bCs/>
        </w:rPr>
        <w:t xml:space="preserve">Primary </w:t>
      </w:r>
      <w:r w:rsidR="00F34D93" w:rsidRPr="002E08BC">
        <w:rPr>
          <w:b/>
          <w:bCs/>
        </w:rPr>
        <w:t>Source</w:t>
      </w:r>
      <w:r>
        <w:rPr>
          <w:b/>
          <w:bCs/>
        </w:rPr>
        <w:t>(s)</w:t>
      </w:r>
      <w:r w:rsidR="00F34D93" w:rsidRPr="002E08BC">
        <w:rPr>
          <w:b/>
          <w:bCs/>
        </w:rPr>
        <w:t xml:space="preserve"> of risk</w:t>
      </w:r>
      <w:r w:rsidR="00441C97">
        <w:t xml:space="preserve">: </w:t>
      </w:r>
      <w:r w:rsidR="006D501E">
        <w:t xml:space="preserve"> </w:t>
      </w:r>
      <w:r w:rsidR="00FF3F69">
        <w:t>This column captures t</w:t>
      </w:r>
      <w:r w:rsidR="00F34D93">
        <w:t xml:space="preserve">he primary </w:t>
      </w:r>
      <w:r w:rsidR="00375C36">
        <w:t xml:space="preserve">source within the agency’s organizational structure and mechanisms </w:t>
      </w:r>
      <w:r w:rsidR="00F34D93">
        <w:t>of the risk</w:t>
      </w:r>
      <w:r w:rsidR="00B20ECC">
        <w:rPr>
          <w:rFonts w:cs="Times New Roman"/>
        </w:rPr>
        <w:t>.  Select one or more relevant sources of risk including:</w:t>
      </w:r>
    </w:p>
    <w:p w14:paraId="15DEB2C4" w14:textId="77777777" w:rsidR="00B20ECC" w:rsidRDefault="00B20ECC" w:rsidP="00A6740F">
      <w:pPr>
        <w:pStyle w:val="ListParagraph"/>
        <w:numPr>
          <w:ilvl w:val="1"/>
          <w:numId w:val="1"/>
        </w:numPr>
      </w:pPr>
      <w:r w:rsidRPr="003448A0">
        <w:t>Policy</w:t>
      </w:r>
      <w:r w:rsidRPr="009534BD">
        <w:t>:</w:t>
      </w:r>
      <w:r>
        <w:t xml:space="preserve"> </w:t>
      </w:r>
      <w:r w:rsidR="00D61B66">
        <w:t>T</w:t>
      </w:r>
      <w:r>
        <w:t xml:space="preserve">he </w:t>
      </w:r>
      <w:r w:rsidRPr="00B20ECC">
        <w:t>course of action adopted (or imposed by legislation</w:t>
      </w:r>
      <w:r w:rsidR="00E77F88">
        <w:t xml:space="preserve"> or other authority</w:t>
      </w:r>
      <w:r w:rsidRPr="00B20ECC">
        <w:t>) by the agency</w:t>
      </w:r>
      <w:r w:rsidR="00D61B66">
        <w:t>.</w:t>
      </w:r>
    </w:p>
    <w:p w14:paraId="1B7CD3B0" w14:textId="77777777" w:rsidR="00B20ECC" w:rsidRDefault="00B20ECC" w:rsidP="00A6740F">
      <w:pPr>
        <w:pStyle w:val="ListParagraph"/>
        <w:numPr>
          <w:ilvl w:val="1"/>
          <w:numId w:val="1"/>
        </w:numPr>
      </w:pPr>
      <w:r w:rsidRPr="003448A0">
        <w:t>Processes</w:t>
      </w:r>
      <w:r w:rsidRPr="009534BD">
        <w:t>:</w:t>
      </w:r>
      <w:r>
        <w:t xml:space="preserve"> </w:t>
      </w:r>
      <w:r w:rsidR="00D61B66">
        <w:t>T</w:t>
      </w:r>
      <w:r w:rsidRPr="00D71ADE">
        <w:t>he sequence of steps the agency has developed to carry out a policy or task</w:t>
      </w:r>
      <w:r w:rsidR="00D61B66">
        <w:t>.</w:t>
      </w:r>
    </w:p>
    <w:p w14:paraId="2A898896" w14:textId="349F620F" w:rsidR="009F056E" w:rsidRDefault="00B20ECC" w:rsidP="00FC533B">
      <w:pPr>
        <w:pStyle w:val="ListParagraph"/>
        <w:numPr>
          <w:ilvl w:val="1"/>
          <w:numId w:val="1"/>
        </w:numPr>
      </w:pPr>
      <w:r w:rsidRPr="003448A0">
        <w:t>Operations</w:t>
      </w:r>
      <w:r w:rsidRPr="009534BD">
        <w:t>:</w:t>
      </w:r>
      <w:r>
        <w:t xml:space="preserve"> </w:t>
      </w:r>
      <w:r w:rsidR="00D61B66">
        <w:t>H</w:t>
      </w:r>
      <w:r w:rsidRPr="00D71ADE">
        <w:t>ow one or more of those process steps is executed, by whom, and when</w:t>
      </w:r>
      <w:r w:rsidR="00D61B66">
        <w:t>.</w:t>
      </w:r>
    </w:p>
    <w:p w14:paraId="316405AF" w14:textId="5B65FB3D" w:rsidR="000C5552" w:rsidRDefault="000C5552" w:rsidP="00680A0A">
      <w:r>
        <w:br w:type="page"/>
      </w:r>
    </w:p>
    <w:p w14:paraId="726435B0" w14:textId="096C9BAC" w:rsidR="0041347F" w:rsidRDefault="0041347F" w:rsidP="00680A0A">
      <w:r w:rsidRPr="003448A0">
        <w:rPr>
          <w:b/>
          <w:bCs/>
          <w:sz w:val="20"/>
          <w:szCs w:val="20"/>
        </w:rPr>
        <w:t xml:space="preserve">Table </w:t>
      </w:r>
      <w:r w:rsidRPr="00635C69">
        <w:rPr>
          <w:b/>
          <w:bCs/>
          <w:sz w:val="20"/>
          <w:szCs w:val="20"/>
        </w:rPr>
        <w:t>2. Identify Inherent Risks</w:t>
      </w:r>
    </w:p>
    <w:tbl>
      <w:tblPr>
        <w:tblStyle w:val="TableGrid"/>
        <w:tblW w:w="14112" w:type="dxa"/>
        <w:tblLook w:val="04A0" w:firstRow="1" w:lastRow="0" w:firstColumn="1" w:lastColumn="0" w:noHBand="0" w:noVBand="1"/>
        <w:tblCaption w:val="Table 2. Identify Inherent Risks"/>
      </w:tblPr>
      <w:tblGrid>
        <w:gridCol w:w="883"/>
        <w:gridCol w:w="5651"/>
        <w:gridCol w:w="2654"/>
        <w:gridCol w:w="1603"/>
        <w:gridCol w:w="1630"/>
        <w:gridCol w:w="1691"/>
      </w:tblGrid>
      <w:tr w:rsidR="00CE2F35" w:rsidRPr="0031691E" w14:paraId="6C8C2B38" w14:textId="7CDFAA1F" w:rsidTr="000C5552">
        <w:trPr>
          <w:trHeight w:val="493"/>
        </w:trPr>
        <w:tc>
          <w:tcPr>
            <w:tcW w:w="883" w:type="dxa"/>
            <w:shd w:val="clear" w:color="auto" w:fill="223767"/>
            <w:vAlign w:val="center"/>
          </w:tcPr>
          <w:p w14:paraId="2BC654B7" w14:textId="77777777" w:rsidR="00CE2F35" w:rsidRPr="00581FB7" w:rsidRDefault="00CE2F35" w:rsidP="00990EC2">
            <w:pPr>
              <w:jc w:val="center"/>
              <w:rPr>
                <w:b/>
                <w:bCs/>
                <w:sz w:val="20"/>
                <w:szCs w:val="20"/>
              </w:rPr>
            </w:pPr>
            <w:r w:rsidRPr="00581FB7">
              <w:rPr>
                <w:b/>
                <w:bCs/>
                <w:sz w:val="20"/>
                <w:szCs w:val="20"/>
              </w:rPr>
              <w:t>Risk #</w:t>
            </w:r>
          </w:p>
        </w:tc>
        <w:tc>
          <w:tcPr>
            <w:tcW w:w="5651" w:type="dxa"/>
            <w:shd w:val="clear" w:color="auto" w:fill="223767"/>
            <w:vAlign w:val="center"/>
          </w:tcPr>
          <w:p w14:paraId="72ACC8E5" w14:textId="77777777" w:rsidR="00CE2F35" w:rsidRPr="00581FB7" w:rsidRDefault="00CE2F35" w:rsidP="00990EC2">
            <w:pPr>
              <w:jc w:val="center"/>
              <w:rPr>
                <w:b/>
                <w:bCs/>
                <w:sz w:val="20"/>
                <w:szCs w:val="20"/>
              </w:rPr>
            </w:pPr>
            <w:r w:rsidRPr="00581FB7">
              <w:rPr>
                <w:b/>
                <w:bCs/>
                <w:sz w:val="20"/>
                <w:szCs w:val="20"/>
              </w:rPr>
              <w:t xml:space="preserve">Description of </w:t>
            </w:r>
            <w:r>
              <w:rPr>
                <w:b/>
                <w:bCs/>
                <w:sz w:val="20"/>
                <w:szCs w:val="20"/>
              </w:rPr>
              <w:t xml:space="preserve">Inherent </w:t>
            </w:r>
            <w:r w:rsidRPr="00581FB7">
              <w:rPr>
                <w:b/>
                <w:bCs/>
                <w:sz w:val="20"/>
                <w:szCs w:val="20"/>
              </w:rPr>
              <w:t>Risk</w:t>
            </w:r>
            <w:r>
              <w:rPr>
                <w:b/>
                <w:bCs/>
                <w:sz w:val="20"/>
                <w:szCs w:val="20"/>
              </w:rPr>
              <w:t xml:space="preserve"> (Associated Waiver/Flexibility/Requirement Number[s])</w:t>
            </w:r>
          </w:p>
        </w:tc>
        <w:tc>
          <w:tcPr>
            <w:tcW w:w="2654" w:type="dxa"/>
            <w:shd w:val="clear" w:color="auto" w:fill="223767"/>
            <w:vAlign w:val="center"/>
          </w:tcPr>
          <w:p w14:paraId="69A3DFEA" w14:textId="77777777" w:rsidR="00CE2F35" w:rsidRPr="00581FB7" w:rsidRDefault="00CE2F35" w:rsidP="00990EC2">
            <w:pPr>
              <w:jc w:val="center"/>
              <w:rPr>
                <w:b/>
                <w:bCs/>
                <w:sz w:val="20"/>
                <w:szCs w:val="20"/>
              </w:rPr>
            </w:pPr>
            <w:r w:rsidRPr="00581FB7">
              <w:rPr>
                <w:b/>
                <w:bCs/>
                <w:sz w:val="20"/>
                <w:szCs w:val="20"/>
              </w:rPr>
              <w:t>Category of Risk</w:t>
            </w:r>
          </w:p>
        </w:tc>
        <w:tc>
          <w:tcPr>
            <w:tcW w:w="4924" w:type="dxa"/>
            <w:gridSpan w:val="3"/>
            <w:shd w:val="clear" w:color="auto" w:fill="223767"/>
            <w:vAlign w:val="center"/>
          </w:tcPr>
          <w:p w14:paraId="4ED21569" w14:textId="77777777" w:rsidR="00CE2F35" w:rsidRPr="00581FB7" w:rsidRDefault="00CE2F35" w:rsidP="00990EC2">
            <w:pPr>
              <w:jc w:val="center"/>
              <w:rPr>
                <w:b/>
                <w:bCs/>
                <w:sz w:val="20"/>
                <w:szCs w:val="20"/>
              </w:rPr>
            </w:pPr>
            <w:r>
              <w:rPr>
                <w:b/>
                <w:bCs/>
                <w:sz w:val="20"/>
                <w:szCs w:val="20"/>
              </w:rPr>
              <w:t xml:space="preserve">Primary </w:t>
            </w:r>
            <w:r w:rsidRPr="00581FB7">
              <w:rPr>
                <w:b/>
                <w:bCs/>
                <w:sz w:val="20"/>
                <w:szCs w:val="20"/>
              </w:rPr>
              <w:t>Source</w:t>
            </w:r>
            <w:r>
              <w:rPr>
                <w:b/>
                <w:bCs/>
                <w:sz w:val="20"/>
                <w:szCs w:val="20"/>
              </w:rPr>
              <w:t>(s)</w:t>
            </w:r>
            <w:r w:rsidRPr="00581FB7">
              <w:rPr>
                <w:b/>
                <w:bCs/>
                <w:sz w:val="20"/>
                <w:szCs w:val="20"/>
              </w:rPr>
              <w:t xml:space="preserve"> of Risk</w:t>
            </w:r>
          </w:p>
        </w:tc>
      </w:tr>
      <w:tr w:rsidR="00CE2F35" w:rsidRPr="0031691E" w14:paraId="51D65C07" w14:textId="10A597AC" w:rsidTr="000C5552">
        <w:trPr>
          <w:trHeight w:val="347"/>
        </w:trPr>
        <w:tc>
          <w:tcPr>
            <w:tcW w:w="883" w:type="dxa"/>
            <w:shd w:val="clear" w:color="auto" w:fill="0098AA"/>
            <w:vAlign w:val="center"/>
          </w:tcPr>
          <w:p w14:paraId="5862E786" w14:textId="77777777" w:rsidR="00CE2F35" w:rsidRPr="002A7235" w:rsidRDefault="00CE2F35" w:rsidP="00990EC2">
            <w:pPr>
              <w:jc w:val="center"/>
              <w:rPr>
                <w:b/>
                <w:bCs/>
                <w:color w:val="0098AA"/>
                <w:sz w:val="12"/>
                <w:szCs w:val="12"/>
              </w:rPr>
            </w:pPr>
            <w:r w:rsidRPr="002A7235">
              <w:rPr>
                <w:b/>
                <w:bCs/>
                <w:color w:val="0098AA"/>
                <w:sz w:val="12"/>
                <w:szCs w:val="12"/>
              </w:rPr>
              <w:t>Risk #</w:t>
            </w:r>
          </w:p>
        </w:tc>
        <w:tc>
          <w:tcPr>
            <w:tcW w:w="5651" w:type="dxa"/>
            <w:shd w:val="clear" w:color="auto" w:fill="0098AA"/>
          </w:tcPr>
          <w:p w14:paraId="6558D3F9" w14:textId="77777777" w:rsidR="00CE2F35" w:rsidRPr="002A7235" w:rsidRDefault="00CE2F35" w:rsidP="00990EC2">
            <w:pPr>
              <w:rPr>
                <w:b/>
                <w:bCs/>
                <w:color w:val="0098AA"/>
                <w:sz w:val="12"/>
                <w:szCs w:val="12"/>
              </w:rPr>
            </w:pPr>
            <w:r w:rsidRPr="002A7235">
              <w:rPr>
                <w:b/>
                <w:bCs/>
                <w:color w:val="0098AA"/>
                <w:sz w:val="12"/>
                <w:szCs w:val="12"/>
              </w:rPr>
              <w:t>Description of Inherent Risk (Associated Waiver/Flexibility/Requirement Number[s])</w:t>
            </w:r>
          </w:p>
        </w:tc>
        <w:tc>
          <w:tcPr>
            <w:tcW w:w="2654" w:type="dxa"/>
            <w:shd w:val="clear" w:color="auto" w:fill="0098AA"/>
          </w:tcPr>
          <w:p w14:paraId="1BC8DE90" w14:textId="77777777" w:rsidR="00CE2F35" w:rsidRPr="002A7235" w:rsidRDefault="00CE2F35" w:rsidP="00990EC2">
            <w:pPr>
              <w:rPr>
                <w:b/>
                <w:bCs/>
                <w:color w:val="0098AA"/>
                <w:sz w:val="12"/>
                <w:szCs w:val="12"/>
              </w:rPr>
            </w:pPr>
            <w:r w:rsidRPr="002A7235">
              <w:rPr>
                <w:b/>
                <w:bCs/>
                <w:color w:val="0098AA"/>
                <w:sz w:val="12"/>
                <w:szCs w:val="12"/>
              </w:rPr>
              <w:t>Category of Risk</w:t>
            </w:r>
          </w:p>
        </w:tc>
        <w:tc>
          <w:tcPr>
            <w:tcW w:w="1603" w:type="dxa"/>
            <w:shd w:val="clear" w:color="auto" w:fill="0098AA"/>
          </w:tcPr>
          <w:p w14:paraId="040EEB65" w14:textId="77777777" w:rsidR="00CE2F35" w:rsidRPr="002A7235" w:rsidRDefault="00CE2F35" w:rsidP="00990EC2">
            <w:pPr>
              <w:jc w:val="center"/>
              <w:rPr>
                <w:b/>
                <w:bCs/>
                <w:color w:val="0098AA"/>
                <w:sz w:val="8"/>
                <w:szCs w:val="8"/>
              </w:rPr>
            </w:pPr>
            <w:r w:rsidRPr="002A7235">
              <w:rPr>
                <w:b/>
                <w:bCs/>
                <w:color w:val="0098AA"/>
                <w:sz w:val="8"/>
                <w:szCs w:val="8"/>
              </w:rPr>
              <w:t>Primary Source(s) of Risk</w:t>
            </w:r>
          </w:p>
          <w:p w14:paraId="4B693431" w14:textId="77777777" w:rsidR="00CE2F35" w:rsidRPr="00581FB7" w:rsidRDefault="00CE2F35" w:rsidP="00990EC2">
            <w:pPr>
              <w:jc w:val="center"/>
              <w:rPr>
                <w:b/>
                <w:bCs/>
                <w:color w:val="FFFFFF" w:themeColor="background1"/>
                <w:sz w:val="20"/>
                <w:szCs w:val="20"/>
              </w:rPr>
            </w:pPr>
            <w:r w:rsidRPr="0034426B">
              <w:rPr>
                <w:b/>
                <w:bCs/>
                <w:sz w:val="20"/>
                <w:szCs w:val="20"/>
              </w:rPr>
              <w:t>Policy</w:t>
            </w:r>
          </w:p>
        </w:tc>
        <w:tc>
          <w:tcPr>
            <w:tcW w:w="1630" w:type="dxa"/>
            <w:shd w:val="clear" w:color="auto" w:fill="0098AA"/>
          </w:tcPr>
          <w:p w14:paraId="1E0425FA" w14:textId="77777777" w:rsidR="00CE2F35" w:rsidRPr="002A7235" w:rsidRDefault="00CE2F35" w:rsidP="002A7235">
            <w:pPr>
              <w:jc w:val="center"/>
              <w:rPr>
                <w:b/>
                <w:bCs/>
                <w:color w:val="0098AA"/>
                <w:sz w:val="8"/>
                <w:szCs w:val="8"/>
              </w:rPr>
            </w:pPr>
            <w:r w:rsidRPr="002A7235">
              <w:rPr>
                <w:b/>
                <w:bCs/>
                <w:color w:val="0098AA"/>
                <w:sz w:val="8"/>
                <w:szCs w:val="8"/>
              </w:rPr>
              <w:t>Primary Source(s) of Risk</w:t>
            </w:r>
          </w:p>
          <w:p w14:paraId="2031AA0F" w14:textId="77777777" w:rsidR="00CE2F35" w:rsidRPr="00581FB7" w:rsidRDefault="00CE2F35" w:rsidP="00990EC2">
            <w:pPr>
              <w:jc w:val="center"/>
              <w:rPr>
                <w:b/>
                <w:bCs/>
                <w:color w:val="FFFFFF" w:themeColor="background1"/>
                <w:sz w:val="20"/>
                <w:szCs w:val="20"/>
              </w:rPr>
            </w:pPr>
            <w:r w:rsidRPr="0034426B">
              <w:rPr>
                <w:b/>
                <w:bCs/>
                <w:sz w:val="20"/>
                <w:szCs w:val="20"/>
              </w:rPr>
              <w:t>Processes</w:t>
            </w:r>
          </w:p>
        </w:tc>
        <w:tc>
          <w:tcPr>
            <w:tcW w:w="1691" w:type="dxa"/>
            <w:shd w:val="clear" w:color="auto" w:fill="0098AA"/>
          </w:tcPr>
          <w:p w14:paraId="2C55CACE" w14:textId="77777777" w:rsidR="00CE2F35" w:rsidRPr="002A7235" w:rsidRDefault="00CE2F35" w:rsidP="002A7235">
            <w:pPr>
              <w:jc w:val="center"/>
              <w:rPr>
                <w:b/>
                <w:bCs/>
                <w:color w:val="0098AA"/>
                <w:sz w:val="8"/>
                <w:szCs w:val="8"/>
              </w:rPr>
            </w:pPr>
            <w:r w:rsidRPr="002A7235">
              <w:rPr>
                <w:b/>
                <w:bCs/>
                <w:color w:val="0098AA"/>
                <w:sz w:val="8"/>
                <w:szCs w:val="8"/>
              </w:rPr>
              <w:t>Primary Source(s) of Risk</w:t>
            </w:r>
          </w:p>
          <w:p w14:paraId="72521401" w14:textId="77777777" w:rsidR="00CE2F35" w:rsidRPr="00581FB7" w:rsidRDefault="00CE2F35" w:rsidP="00990EC2">
            <w:pPr>
              <w:jc w:val="center"/>
              <w:rPr>
                <w:b/>
                <w:bCs/>
                <w:color w:val="FFFFFF" w:themeColor="background1"/>
                <w:sz w:val="20"/>
                <w:szCs w:val="20"/>
              </w:rPr>
            </w:pPr>
            <w:r w:rsidRPr="0034426B">
              <w:rPr>
                <w:b/>
                <w:bCs/>
                <w:sz w:val="20"/>
                <w:szCs w:val="20"/>
              </w:rPr>
              <w:t>Operations</w:t>
            </w:r>
          </w:p>
        </w:tc>
      </w:tr>
      <w:tr w:rsidR="00CE2F35" w:rsidRPr="0031691E" w14:paraId="598FD7BE" w14:textId="2907D9E5" w:rsidTr="000C5552">
        <w:trPr>
          <w:trHeight w:val="1258"/>
        </w:trPr>
        <w:tc>
          <w:tcPr>
            <w:tcW w:w="883" w:type="dxa"/>
            <w:shd w:val="clear" w:color="auto" w:fill="auto"/>
            <w:vAlign w:val="center"/>
          </w:tcPr>
          <w:p w14:paraId="27956783" w14:textId="77777777" w:rsidR="00CE2F35" w:rsidRPr="0031691E" w:rsidRDefault="00CE2F35" w:rsidP="00990EC2">
            <w:pPr>
              <w:jc w:val="center"/>
              <w:rPr>
                <w:sz w:val="20"/>
                <w:szCs w:val="20"/>
              </w:rPr>
            </w:pPr>
            <w:r>
              <w:rPr>
                <w:sz w:val="20"/>
                <w:szCs w:val="20"/>
              </w:rPr>
              <w:t>1</w:t>
            </w:r>
          </w:p>
        </w:tc>
        <w:tc>
          <w:tcPr>
            <w:tcW w:w="5651" w:type="dxa"/>
            <w:shd w:val="clear" w:color="auto" w:fill="auto"/>
          </w:tcPr>
          <w:p w14:paraId="29B0E6CE" w14:textId="32357EFC" w:rsidR="00CE2F35" w:rsidRPr="0031691E" w:rsidRDefault="00CE2F35" w:rsidP="006F46B3">
            <w:pPr>
              <w:rPr>
                <w:sz w:val="20"/>
                <w:szCs w:val="20"/>
              </w:rPr>
            </w:pPr>
            <w:r w:rsidRPr="006E74FF">
              <w:rPr>
                <w:b/>
                <w:bCs/>
              </w:rPr>
              <w:t>EXAMPLE</w:t>
            </w:r>
            <w:r>
              <w:rPr>
                <w:b/>
                <w:bCs/>
              </w:rPr>
              <w:t xml:space="preserve">:  </w:t>
            </w:r>
            <w:r w:rsidRPr="00AF732D">
              <w:rPr>
                <w:sz w:val="20"/>
                <w:szCs w:val="20"/>
              </w:rPr>
              <w:t>Ineligible individuals remain enrolled in coverage after the permissible period</w:t>
            </w:r>
            <w:r>
              <w:rPr>
                <w:sz w:val="20"/>
                <w:szCs w:val="20"/>
              </w:rPr>
              <w:t xml:space="preserve"> (i.e., through the end of the unwinding period after the PHE ends)</w:t>
            </w:r>
            <w:r w:rsidRPr="00AF732D">
              <w:rPr>
                <w:sz w:val="20"/>
                <w:szCs w:val="20"/>
              </w:rPr>
              <w:t xml:space="preserve"> given the volume of cases to process and limited time to do </w:t>
            </w:r>
            <w:r w:rsidRPr="005D799C">
              <w:rPr>
                <w:sz w:val="20"/>
                <w:szCs w:val="20"/>
              </w:rPr>
              <w:t>so (1).</w:t>
            </w:r>
          </w:p>
        </w:tc>
        <w:tc>
          <w:tcPr>
            <w:tcW w:w="2654" w:type="dxa"/>
            <w:shd w:val="clear" w:color="auto" w:fill="auto"/>
          </w:tcPr>
          <w:p w14:paraId="02933AFD" w14:textId="77777777" w:rsidR="00CE2F35" w:rsidRPr="0031691E" w:rsidRDefault="00CE2F35" w:rsidP="00990EC2">
            <w:pPr>
              <w:rPr>
                <w:sz w:val="20"/>
                <w:szCs w:val="20"/>
              </w:rPr>
            </w:pPr>
            <w:r w:rsidRPr="006E74FF">
              <w:rPr>
                <w:b/>
                <w:bCs/>
              </w:rPr>
              <w:t>EXAMPLE</w:t>
            </w:r>
            <w:r>
              <w:rPr>
                <w:b/>
                <w:bCs/>
              </w:rPr>
              <w:t xml:space="preserve">: </w:t>
            </w:r>
            <w:r w:rsidRPr="00AF732D">
              <w:rPr>
                <w:sz w:val="20"/>
                <w:szCs w:val="20"/>
              </w:rPr>
              <w:t xml:space="preserve">Improper continued enrollment </w:t>
            </w:r>
          </w:p>
        </w:tc>
        <w:tc>
          <w:tcPr>
            <w:tcW w:w="1603" w:type="dxa"/>
            <w:shd w:val="clear" w:color="auto" w:fill="auto"/>
          </w:tcPr>
          <w:p w14:paraId="654AC0B1" w14:textId="77777777" w:rsidR="00CE2F35" w:rsidRPr="0031691E" w:rsidRDefault="00CE2F35" w:rsidP="00A54D61">
            <w:pPr>
              <w:jc w:val="center"/>
              <w:rPr>
                <w:sz w:val="20"/>
                <w:szCs w:val="20"/>
              </w:rPr>
            </w:pPr>
            <w:r>
              <w:rPr>
                <w:sz w:val="20"/>
                <w:szCs w:val="20"/>
              </w:rPr>
              <w:t>X</w:t>
            </w:r>
          </w:p>
        </w:tc>
        <w:tc>
          <w:tcPr>
            <w:tcW w:w="1630" w:type="dxa"/>
            <w:shd w:val="clear" w:color="auto" w:fill="auto"/>
          </w:tcPr>
          <w:p w14:paraId="7FCF3CC3" w14:textId="77777777" w:rsidR="00CE2F35" w:rsidRPr="0031691E" w:rsidRDefault="00CE2F35" w:rsidP="00A54D61">
            <w:pPr>
              <w:jc w:val="center"/>
              <w:rPr>
                <w:sz w:val="20"/>
                <w:szCs w:val="20"/>
              </w:rPr>
            </w:pPr>
            <w:r>
              <w:rPr>
                <w:sz w:val="20"/>
                <w:szCs w:val="20"/>
              </w:rPr>
              <w:t>X</w:t>
            </w:r>
          </w:p>
        </w:tc>
        <w:tc>
          <w:tcPr>
            <w:tcW w:w="1691" w:type="dxa"/>
            <w:shd w:val="clear" w:color="auto" w:fill="auto"/>
          </w:tcPr>
          <w:p w14:paraId="4C5AFC5A" w14:textId="77777777" w:rsidR="00CE2F35" w:rsidRPr="0031691E" w:rsidRDefault="00CE2F35" w:rsidP="00A54D61">
            <w:pPr>
              <w:jc w:val="center"/>
              <w:rPr>
                <w:sz w:val="20"/>
                <w:szCs w:val="20"/>
              </w:rPr>
            </w:pPr>
            <w:r>
              <w:rPr>
                <w:sz w:val="20"/>
                <w:szCs w:val="20"/>
              </w:rPr>
              <w:t>X</w:t>
            </w:r>
          </w:p>
        </w:tc>
      </w:tr>
      <w:tr w:rsidR="00CE2F35" w:rsidRPr="0031691E" w14:paraId="1CF59C17" w14:textId="631C79A8" w:rsidTr="000C5552">
        <w:trPr>
          <w:trHeight w:val="2000"/>
        </w:trPr>
        <w:tc>
          <w:tcPr>
            <w:tcW w:w="883" w:type="dxa"/>
            <w:shd w:val="clear" w:color="auto" w:fill="auto"/>
            <w:vAlign w:val="center"/>
          </w:tcPr>
          <w:p w14:paraId="7E548610" w14:textId="77777777" w:rsidR="00CE2F35" w:rsidRPr="0031691E" w:rsidRDefault="00CE2F35" w:rsidP="00990EC2">
            <w:pPr>
              <w:jc w:val="center"/>
              <w:rPr>
                <w:sz w:val="20"/>
                <w:szCs w:val="20"/>
              </w:rPr>
            </w:pPr>
            <w:r>
              <w:rPr>
                <w:sz w:val="20"/>
                <w:szCs w:val="20"/>
              </w:rPr>
              <w:t>2</w:t>
            </w:r>
          </w:p>
        </w:tc>
        <w:tc>
          <w:tcPr>
            <w:tcW w:w="5651" w:type="dxa"/>
            <w:shd w:val="clear" w:color="auto" w:fill="auto"/>
          </w:tcPr>
          <w:p w14:paraId="0BA7FF30" w14:textId="54741906" w:rsidR="00CE2F35" w:rsidRPr="0031691E" w:rsidRDefault="00CE2F35" w:rsidP="001B7D79">
            <w:pPr>
              <w:rPr>
                <w:sz w:val="20"/>
                <w:szCs w:val="20"/>
              </w:rPr>
            </w:pPr>
            <w:r w:rsidRPr="006E74FF">
              <w:rPr>
                <w:b/>
                <w:bCs/>
              </w:rPr>
              <w:t>EXAMPLE</w:t>
            </w:r>
            <w:r>
              <w:rPr>
                <w:b/>
                <w:bCs/>
              </w:rPr>
              <w:t xml:space="preserve">: </w:t>
            </w:r>
            <w:r w:rsidRPr="00AF732D">
              <w:rPr>
                <w:sz w:val="20"/>
                <w:szCs w:val="20"/>
              </w:rPr>
              <w:t>Higher likelihood of eligibility errors</w:t>
            </w:r>
            <w:r>
              <w:rPr>
                <w:sz w:val="20"/>
                <w:szCs w:val="20"/>
              </w:rPr>
              <w:t>, including a risk of erroneous terminations,</w:t>
            </w:r>
            <w:r w:rsidRPr="00AF732D">
              <w:rPr>
                <w:sz w:val="20"/>
                <w:szCs w:val="20"/>
              </w:rPr>
              <w:t xml:space="preserve"> because of the increased workload associated with re-determining eligibility for many beneficiaries on a compressed time frame</w:t>
            </w:r>
            <w:r>
              <w:rPr>
                <w:sz w:val="20"/>
                <w:szCs w:val="20"/>
              </w:rPr>
              <w:t xml:space="preserve"> (1)</w:t>
            </w:r>
            <w:r w:rsidRPr="00AF732D">
              <w:rPr>
                <w:sz w:val="20"/>
                <w:szCs w:val="20"/>
              </w:rPr>
              <w:t>.</w:t>
            </w:r>
          </w:p>
        </w:tc>
        <w:tc>
          <w:tcPr>
            <w:tcW w:w="2654" w:type="dxa"/>
            <w:shd w:val="clear" w:color="auto" w:fill="auto"/>
          </w:tcPr>
          <w:p w14:paraId="3786166B" w14:textId="77777777" w:rsidR="00CE2F35" w:rsidRDefault="00CE2F35" w:rsidP="00990EC2">
            <w:pPr>
              <w:rPr>
                <w:sz w:val="20"/>
                <w:szCs w:val="20"/>
              </w:rPr>
            </w:pPr>
            <w:r w:rsidRPr="006E74FF">
              <w:rPr>
                <w:b/>
                <w:bCs/>
              </w:rPr>
              <w:t>EXAMPLE</w:t>
            </w:r>
            <w:r>
              <w:rPr>
                <w:b/>
                <w:bCs/>
              </w:rPr>
              <w:t xml:space="preserve">: </w:t>
            </w:r>
            <w:r w:rsidRPr="00AF732D">
              <w:rPr>
                <w:sz w:val="20"/>
                <w:szCs w:val="20"/>
              </w:rPr>
              <w:t>Receipt of category of services for which beneficiary is not eligible</w:t>
            </w:r>
          </w:p>
          <w:p w14:paraId="46F59327" w14:textId="29A842C4" w:rsidR="00CE2F35" w:rsidRPr="0031691E" w:rsidRDefault="00CE2F35" w:rsidP="00681440">
            <w:pPr>
              <w:rPr>
                <w:sz w:val="20"/>
                <w:szCs w:val="20"/>
              </w:rPr>
            </w:pPr>
            <w:r w:rsidRPr="007D749C">
              <w:rPr>
                <w:b/>
                <w:bCs/>
                <w:sz w:val="20"/>
              </w:rPr>
              <w:t xml:space="preserve">EXAMPLE: </w:t>
            </w:r>
            <w:r>
              <w:rPr>
                <w:bCs/>
                <w:sz w:val="20"/>
              </w:rPr>
              <w:t>D</w:t>
            </w:r>
            <w:r w:rsidRPr="007D749C">
              <w:rPr>
                <w:bCs/>
                <w:sz w:val="20"/>
              </w:rPr>
              <w:t>enied access to services for which a beneficiary should be eligible</w:t>
            </w:r>
          </w:p>
        </w:tc>
        <w:tc>
          <w:tcPr>
            <w:tcW w:w="1603" w:type="dxa"/>
            <w:shd w:val="clear" w:color="auto" w:fill="auto"/>
          </w:tcPr>
          <w:p w14:paraId="561B1A48" w14:textId="77777777" w:rsidR="00CE2F35" w:rsidRPr="0031691E" w:rsidRDefault="00CE2F35" w:rsidP="00A54D61">
            <w:pPr>
              <w:jc w:val="center"/>
              <w:rPr>
                <w:sz w:val="20"/>
                <w:szCs w:val="20"/>
              </w:rPr>
            </w:pPr>
            <w:r>
              <w:rPr>
                <w:sz w:val="20"/>
                <w:szCs w:val="20"/>
              </w:rPr>
              <w:t>X</w:t>
            </w:r>
          </w:p>
        </w:tc>
        <w:tc>
          <w:tcPr>
            <w:tcW w:w="1630" w:type="dxa"/>
            <w:shd w:val="clear" w:color="auto" w:fill="auto"/>
          </w:tcPr>
          <w:p w14:paraId="68CC1133" w14:textId="77777777" w:rsidR="00CE2F35" w:rsidRPr="0031691E" w:rsidRDefault="00CE2F35" w:rsidP="00A54D61">
            <w:pPr>
              <w:jc w:val="center"/>
              <w:rPr>
                <w:sz w:val="20"/>
                <w:szCs w:val="20"/>
              </w:rPr>
            </w:pPr>
            <w:r>
              <w:rPr>
                <w:sz w:val="20"/>
                <w:szCs w:val="20"/>
              </w:rPr>
              <w:t>X</w:t>
            </w:r>
          </w:p>
        </w:tc>
        <w:tc>
          <w:tcPr>
            <w:tcW w:w="1691" w:type="dxa"/>
            <w:shd w:val="clear" w:color="auto" w:fill="auto"/>
          </w:tcPr>
          <w:p w14:paraId="77BCB195" w14:textId="77777777" w:rsidR="00CE2F35" w:rsidRPr="0031691E" w:rsidRDefault="00CE2F35" w:rsidP="00A54D61">
            <w:pPr>
              <w:jc w:val="center"/>
              <w:rPr>
                <w:sz w:val="20"/>
                <w:szCs w:val="20"/>
              </w:rPr>
            </w:pPr>
            <w:r>
              <w:rPr>
                <w:sz w:val="20"/>
                <w:szCs w:val="20"/>
              </w:rPr>
              <w:t>X</w:t>
            </w:r>
          </w:p>
        </w:tc>
      </w:tr>
      <w:tr w:rsidR="00CE2F35" w:rsidRPr="0031691E" w14:paraId="432B1BEA" w14:textId="3D6F6AB5" w:rsidTr="000C5552">
        <w:trPr>
          <w:trHeight w:val="247"/>
        </w:trPr>
        <w:tc>
          <w:tcPr>
            <w:tcW w:w="883" w:type="dxa"/>
            <w:vAlign w:val="center"/>
          </w:tcPr>
          <w:p w14:paraId="1571D4AE" w14:textId="77777777" w:rsidR="00CE2F35" w:rsidRDefault="00CE2F35" w:rsidP="00990EC2">
            <w:pPr>
              <w:jc w:val="center"/>
              <w:rPr>
                <w:sz w:val="20"/>
                <w:szCs w:val="20"/>
              </w:rPr>
            </w:pPr>
            <w:r>
              <w:rPr>
                <w:sz w:val="20"/>
                <w:szCs w:val="20"/>
              </w:rPr>
              <w:t>3</w:t>
            </w:r>
          </w:p>
        </w:tc>
        <w:tc>
          <w:tcPr>
            <w:tcW w:w="5651" w:type="dxa"/>
          </w:tcPr>
          <w:p w14:paraId="4AF8E523" w14:textId="77777777" w:rsidR="00CE2F35" w:rsidRPr="00AF732D" w:rsidRDefault="00CE2F35" w:rsidP="00990EC2">
            <w:pPr>
              <w:rPr>
                <w:sz w:val="20"/>
                <w:szCs w:val="20"/>
              </w:rPr>
            </w:pPr>
          </w:p>
        </w:tc>
        <w:tc>
          <w:tcPr>
            <w:tcW w:w="2654" w:type="dxa"/>
          </w:tcPr>
          <w:p w14:paraId="497B45F5" w14:textId="77777777" w:rsidR="00CE2F35" w:rsidRPr="00AF732D" w:rsidRDefault="00CE2F35" w:rsidP="00990EC2">
            <w:pPr>
              <w:rPr>
                <w:sz w:val="20"/>
                <w:szCs w:val="20"/>
              </w:rPr>
            </w:pPr>
          </w:p>
        </w:tc>
        <w:tc>
          <w:tcPr>
            <w:tcW w:w="1603" w:type="dxa"/>
          </w:tcPr>
          <w:p w14:paraId="1937A478" w14:textId="77777777" w:rsidR="00CE2F35" w:rsidRDefault="00CE2F35" w:rsidP="00A54D61">
            <w:pPr>
              <w:jc w:val="center"/>
              <w:rPr>
                <w:sz w:val="20"/>
                <w:szCs w:val="20"/>
              </w:rPr>
            </w:pPr>
          </w:p>
        </w:tc>
        <w:tc>
          <w:tcPr>
            <w:tcW w:w="1630" w:type="dxa"/>
          </w:tcPr>
          <w:p w14:paraId="06AD489E" w14:textId="77777777" w:rsidR="00CE2F35" w:rsidRDefault="00CE2F35" w:rsidP="00A54D61">
            <w:pPr>
              <w:jc w:val="center"/>
              <w:rPr>
                <w:sz w:val="20"/>
                <w:szCs w:val="20"/>
              </w:rPr>
            </w:pPr>
          </w:p>
        </w:tc>
        <w:tc>
          <w:tcPr>
            <w:tcW w:w="1691" w:type="dxa"/>
          </w:tcPr>
          <w:p w14:paraId="40C791A4" w14:textId="77777777" w:rsidR="00CE2F35" w:rsidRDefault="00CE2F35" w:rsidP="00A54D61">
            <w:pPr>
              <w:jc w:val="center"/>
              <w:rPr>
                <w:sz w:val="20"/>
                <w:szCs w:val="20"/>
              </w:rPr>
            </w:pPr>
          </w:p>
        </w:tc>
      </w:tr>
    </w:tbl>
    <w:p w14:paraId="67DAC9F4" w14:textId="77777777" w:rsidR="007C6E3C" w:rsidRDefault="007C6E3C" w:rsidP="00F34D93">
      <w:pPr>
        <w:rPr>
          <w:b/>
          <w:bCs/>
        </w:rPr>
      </w:pPr>
    </w:p>
    <w:p w14:paraId="4F828FB3" w14:textId="77777777" w:rsidR="00F8467C" w:rsidRDefault="00F8467C" w:rsidP="00F34D93">
      <w:pPr>
        <w:rPr>
          <w:b/>
          <w:bCs/>
        </w:rPr>
      </w:pPr>
      <w:r>
        <w:rPr>
          <w:b/>
          <w:bCs/>
        </w:rPr>
        <w:br w:type="page"/>
      </w:r>
    </w:p>
    <w:p w14:paraId="5ECF9BBE" w14:textId="77777777" w:rsidR="00F34D93" w:rsidRDefault="00F34D93" w:rsidP="009D24B1">
      <w:pPr>
        <w:outlineLvl w:val="1"/>
      </w:pPr>
      <w:r w:rsidRPr="001B242A">
        <w:rPr>
          <w:b/>
          <w:bCs/>
        </w:rPr>
        <w:t xml:space="preserve">Step </w:t>
      </w:r>
      <w:r w:rsidR="00F37ACE">
        <w:rPr>
          <w:b/>
          <w:bCs/>
        </w:rPr>
        <w:t>3</w:t>
      </w:r>
      <w:r w:rsidRPr="001B242A">
        <w:rPr>
          <w:b/>
          <w:bCs/>
        </w:rPr>
        <w:t xml:space="preserve">:  </w:t>
      </w:r>
      <w:r w:rsidR="008E564D">
        <w:rPr>
          <w:b/>
          <w:bCs/>
        </w:rPr>
        <w:t>Identify potential outcomes and</w:t>
      </w:r>
      <w:r w:rsidRPr="001B242A">
        <w:rPr>
          <w:b/>
          <w:bCs/>
        </w:rPr>
        <w:t xml:space="preserve"> </w:t>
      </w:r>
      <w:r w:rsidR="008E564D">
        <w:rPr>
          <w:b/>
          <w:bCs/>
        </w:rPr>
        <w:t>assess/score</w:t>
      </w:r>
      <w:r w:rsidRPr="001B242A">
        <w:rPr>
          <w:b/>
          <w:bCs/>
        </w:rPr>
        <w:t xml:space="preserve"> inherent risks</w:t>
      </w:r>
    </w:p>
    <w:p w14:paraId="5D96C06F" w14:textId="77777777" w:rsidR="006E3A31" w:rsidRDefault="00F34D93">
      <w:r>
        <w:t>This step involves assessing each identified risk and assigning a risk score for each inherent risk type</w:t>
      </w:r>
      <w:r w:rsidR="006E3A31">
        <w:t xml:space="preserve"> for the following categories:</w:t>
      </w:r>
    </w:p>
    <w:p w14:paraId="7B613830" w14:textId="77777777" w:rsidR="006E3A31" w:rsidRDefault="006E3A31">
      <w:pPr>
        <w:pStyle w:val="ListParagraph"/>
        <w:numPr>
          <w:ilvl w:val="0"/>
          <w:numId w:val="6"/>
        </w:numPr>
      </w:pPr>
      <w:r w:rsidRPr="00DE23C7">
        <w:t>Likelihood</w:t>
      </w:r>
      <w:r w:rsidR="00452C5E" w:rsidRPr="00BD31F0">
        <w:t>:</w:t>
      </w:r>
      <w:r w:rsidR="00452C5E">
        <w:t xml:space="preserve"> </w:t>
      </w:r>
      <w:r w:rsidR="0071170F">
        <w:t xml:space="preserve"> T</w:t>
      </w:r>
      <w:r w:rsidR="00452C5E">
        <w:t>he level of possibility that a risk will occur</w:t>
      </w:r>
      <w:r w:rsidR="00614312">
        <w:t>.</w:t>
      </w:r>
    </w:p>
    <w:p w14:paraId="5BB58FC8" w14:textId="77777777" w:rsidR="006E3A31" w:rsidRDefault="006E3A31">
      <w:pPr>
        <w:pStyle w:val="ListParagraph"/>
        <w:numPr>
          <w:ilvl w:val="0"/>
          <w:numId w:val="6"/>
        </w:numPr>
      </w:pPr>
      <w:r w:rsidRPr="00DE23C7">
        <w:t>B</w:t>
      </w:r>
      <w:r w:rsidR="00F34D93" w:rsidRPr="00DE23C7">
        <w:t xml:space="preserve">eneficiary </w:t>
      </w:r>
      <w:r w:rsidR="0071170F" w:rsidRPr="00DE23C7">
        <w:t>H</w:t>
      </w:r>
      <w:r w:rsidR="00F34D93" w:rsidRPr="00DE23C7">
        <w:t>arm</w:t>
      </w:r>
      <w:r w:rsidRPr="00BD31F0">
        <w:t>:</w:t>
      </w:r>
      <w:r>
        <w:t xml:space="preserve"> </w:t>
      </w:r>
      <w:r w:rsidR="0071170F">
        <w:t xml:space="preserve"> T</w:t>
      </w:r>
      <w:r w:rsidR="00452C5E">
        <w:t>he level of possibility that the risk could inflict harm on beneficiaries</w:t>
      </w:r>
      <w:r w:rsidR="00614312">
        <w:t>.</w:t>
      </w:r>
    </w:p>
    <w:p w14:paraId="5F59DFB8" w14:textId="77777777" w:rsidR="006E3A31" w:rsidRDefault="006E3A31">
      <w:pPr>
        <w:pStyle w:val="ListParagraph"/>
        <w:numPr>
          <w:ilvl w:val="0"/>
          <w:numId w:val="6"/>
        </w:numPr>
      </w:pPr>
      <w:r w:rsidRPr="00DE23C7">
        <w:t>D</w:t>
      </w:r>
      <w:r w:rsidR="00AF1432" w:rsidRPr="00DE23C7">
        <w:t>ollars</w:t>
      </w:r>
      <w:r w:rsidRPr="00BD31F0">
        <w:t>:</w:t>
      </w:r>
      <w:r w:rsidR="00441C97">
        <w:t xml:space="preserve"> </w:t>
      </w:r>
      <w:r w:rsidR="0071170F">
        <w:t xml:space="preserve"> T</w:t>
      </w:r>
      <w:r w:rsidR="00452C5E">
        <w:t>he level of possibility that the risk could lead to financial impacts</w:t>
      </w:r>
      <w:r w:rsidR="00A6740F">
        <w:t xml:space="preserve"> for the state</w:t>
      </w:r>
      <w:r w:rsidR="00614312">
        <w:t>.</w:t>
      </w:r>
    </w:p>
    <w:p w14:paraId="15E87D8C" w14:textId="77777777" w:rsidR="006E3A31" w:rsidRDefault="006E3A31">
      <w:pPr>
        <w:pStyle w:val="ListParagraph"/>
        <w:numPr>
          <w:ilvl w:val="0"/>
          <w:numId w:val="6"/>
        </w:numPr>
      </w:pPr>
      <w:r w:rsidRPr="00DE23C7">
        <w:t>Overall</w:t>
      </w:r>
      <w:r w:rsidRPr="00BD31F0">
        <w:t>:</w:t>
      </w:r>
      <w:r>
        <w:t xml:space="preserve"> </w:t>
      </w:r>
      <w:r w:rsidR="0071170F">
        <w:t xml:space="preserve"> T</w:t>
      </w:r>
      <w:r>
        <w:t>he average score of the scores for the preceding risk categories</w:t>
      </w:r>
      <w:r w:rsidR="00614312">
        <w:t>.</w:t>
      </w:r>
      <w:r w:rsidR="00AF1432">
        <w:t xml:space="preserve"> </w:t>
      </w:r>
    </w:p>
    <w:p w14:paraId="13252653" w14:textId="77777777" w:rsidR="00F34D93" w:rsidRDefault="00F8467C">
      <w:r>
        <w:t>B</w:t>
      </w:r>
      <w:r w:rsidR="006E3A31">
        <w:t xml:space="preserve">efore determining risk scores, </w:t>
      </w:r>
      <w:bookmarkStart w:id="1" w:name="_Hlk62802904"/>
      <w:r w:rsidR="006E3A31">
        <w:t>states should identify the potential outcome</w:t>
      </w:r>
      <w:r w:rsidR="00017036">
        <w:t>(</w:t>
      </w:r>
      <w:r w:rsidR="006E3A31">
        <w:t>s</w:t>
      </w:r>
      <w:r w:rsidR="00017036">
        <w:t>)</w:t>
      </w:r>
      <w:r w:rsidR="006E3A31">
        <w:t xml:space="preserve"> associated with each inherent risk. </w:t>
      </w:r>
      <w:r w:rsidR="0071170F">
        <w:t xml:space="preserve"> </w:t>
      </w:r>
      <w:bookmarkEnd w:id="1"/>
      <w:r w:rsidR="006E3A31">
        <w:t>This is important because it can support states in better understanding the magnitude</w:t>
      </w:r>
      <w:r w:rsidR="000B75C9">
        <w:t xml:space="preserve"> and nature </w:t>
      </w:r>
      <w:r w:rsidR="006E3A31">
        <w:t xml:space="preserve">of </w:t>
      </w:r>
      <w:r w:rsidR="000B75C9">
        <w:t xml:space="preserve">the </w:t>
      </w:r>
      <w:r w:rsidR="006E3A31">
        <w:t>impact of each risk</w:t>
      </w:r>
      <w:r w:rsidR="00CC2981">
        <w:t>.  States can use these insights when deciding how to score the inherent risk.  This process can</w:t>
      </w:r>
      <w:r w:rsidR="006E3A31">
        <w:t xml:space="preserve"> ultimately </w:t>
      </w:r>
      <w:r w:rsidR="0043655B">
        <w:t xml:space="preserve">assist </w:t>
      </w:r>
      <w:r w:rsidR="006E3A31">
        <w:t>states when determining risk prioritization (in the subsequent steps)</w:t>
      </w:r>
      <w:r w:rsidR="00452C5E">
        <w:t>.</w:t>
      </w:r>
    </w:p>
    <w:p w14:paraId="133BF60D" w14:textId="0F1C05EA" w:rsidR="00F34D93" w:rsidRDefault="00F34D93">
      <w:r w:rsidRPr="008C733D">
        <w:rPr>
          <w:b/>
          <w:bCs/>
          <w:u w:val="single"/>
        </w:rPr>
        <w:t>Note</w:t>
      </w:r>
      <w:r>
        <w:t xml:space="preserve">: </w:t>
      </w:r>
      <w:r w:rsidR="00464C0F">
        <w:t xml:space="preserve"> </w:t>
      </w:r>
      <w:r w:rsidR="0086039F">
        <w:t>There are many ways to determine risks scores</w:t>
      </w:r>
      <w:r w:rsidR="00E30816">
        <w:t>,</w:t>
      </w:r>
      <w:r w:rsidR="0086039F">
        <w:t xml:space="preserve"> and states </w:t>
      </w:r>
      <w:r w:rsidR="00E30816">
        <w:t>may</w:t>
      </w:r>
      <w:r w:rsidR="0086039F">
        <w:t xml:space="preserve"> tailor this </w:t>
      </w:r>
      <w:r w:rsidR="00F8467C">
        <w:t xml:space="preserve">part of the </w:t>
      </w:r>
      <w:r w:rsidR="0086039F">
        <w:t>process to fit their program and needs.</w:t>
      </w:r>
      <w:r w:rsidR="0071170F">
        <w:t xml:space="preserve"> </w:t>
      </w:r>
      <w:r w:rsidR="00464C0F">
        <w:t xml:space="preserve"> </w:t>
      </w:r>
      <w:r w:rsidR="0086039F" w:rsidRPr="00F8467C">
        <w:t>For instance, r</w:t>
      </w:r>
      <w:r w:rsidRPr="00F8467C">
        <w:t>isk scores can be quantitative</w:t>
      </w:r>
      <w:r w:rsidR="00606187">
        <w:t xml:space="preserve"> (i.e., use </w:t>
      </w:r>
      <w:r w:rsidRPr="00F8467C">
        <w:t xml:space="preserve">a numeric </w:t>
      </w:r>
      <w:r w:rsidR="00F16DD7">
        <w:t>scoring methodology</w:t>
      </w:r>
      <w:r w:rsidR="00606187">
        <w:t xml:space="preserve">, such as a </w:t>
      </w:r>
      <w:r w:rsidR="00452C5E" w:rsidRPr="00F8467C">
        <w:t xml:space="preserve">5-point </w:t>
      </w:r>
      <w:r w:rsidR="00606187">
        <w:t xml:space="preserve">or </w:t>
      </w:r>
      <w:r w:rsidR="00452C5E" w:rsidRPr="00F8467C">
        <w:t>10-point scale)</w:t>
      </w:r>
      <w:r w:rsidRPr="00F8467C">
        <w:t xml:space="preserve">, or </w:t>
      </w:r>
      <w:r w:rsidR="00F16DD7">
        <w:t xml:space="preserve">consist of </w:t>
      </w:r>
      <w:r w:rsidRPr="00F8467C">
        <w:t>qualitative</w:t>
      </w:r>
      <w:r w:rsidR="00F16DD7">
        <w:t xml:space="preserve"> factors</w:t>
      </w:r>
      <w:r w:rsidRPr="00F8467C">
        <w:t xml:space="preserve"> to assign a category of risk (e.g., low, medium, high).</w:t>
      </w:r>
      <w:r w:rsidR="0071170F" w:rsidRPr="00F8467C">
        <w:t xml:space="preserve"> </w:t>
      </w:r>
      <w:r w:rsidRPr="00F8467C">
        <w:t xml:space="preserve"> In the example in this template, risk scores are calculated using a </w:t>
      </w:r>
      <w:r w:rsidR="00452C5E" w:rsidRPr="00F8467C">
        <w:t>qualitative</w:t>
      </w:r>
      <w:r w:rsidRPr="00F8467C">
        <w:t xml:space="preserve"> scale</w:t>
      </w:r>
      <w:r w:rsidR="00F16DD7">
        <w:t xml:space="preserve"> of </w:t>
      </w:r>
      <w:r w:rsidR="00452C5E" w:rsidRPr="00F8467C">
        <w:t xml:space="preserve">low, </w:t>
      </w:r>
      <w:r w:rsidR="00F31116" w:rsidRPr="00F8467C">
        <w:t>medium</w:t>
      </w:r>
      <w:r w:rsidR="00452C5E" w:rsidRPr="00F8467C">
        <w:t xml:space="preserve">, </w:t>
      </w:r>
      <w:r w:rsidR="00F16DD7">
        <w:t xml:space="preserve">and </w:t>
      </w:r>
      <w:r w:rsidR="00452C5E" w:rsidRPr="00F8467C">
        <w:t>high</w:t>
      </w:r>
      <w:r w:rsidRPr="00F8467C">
        <w:t xml:space="preserve"> to allow for ease in calculating the overall risk score. </w:t>
      </w:r>
      <w:r w:rsidR="0071170F" w:rsidRPr="00F8467C">
        <w:t xml:space="preserve"> </w:t>
      </w:r>
      <w:r w:rsidRPr="00F8467C">
        <w:t>However, this can be adjusted as needed based on your state’s preferences.</w:t>
      </w:r>
      <w:r w:rsidR="0086039F">
        <w:t xml:space="preserve"> Additionally, states may choose to use other or additional categories to score risk, such as program reputation. </w:t>
      </w:r>
      <w:r w:rsidR="00464C0F">
        <w:t xml:space="preserve"> </w:t>
      </w:r>
      <w:r w:rsidR="0086039F">
        <w:t>Finally, states</w:t>
      </w:r>
      <w:r w:rsidR="00F8467C">
        <w:t xml:space="preserve"> may utilize various methodologies for establishing the overall risk score including weighting certain risks or risk types based on state specific priorities.</w:t>
      </w:r>
    </w:p>
    <w:p w14:paraId="411B8CF1" w14:textId="58FAD676" w:rsidR="0041347F" w:rsidRDefault="0041347F">
      <w:r w:rsidRPr="00416ABD">
        <w:rPr>
          <w:b/>
          <w:bCs/>
          <w:sz w:val="20"/>
          <w:szCs w:val="20"/>
        </w:rPr>
        <w:t xml:space="preserve">Table 3. </w:t>
      </w:r>
      <w:r>
        <w:rPr>
          <w:b/>
          <w:bCs/>
          <w:sz w:val="20"/>
          <w:szCs w:val="20"/>
        </w:rPr>
        <w:t>Identify Potential Outcomes and Assess Inherent Risks</w:t>
      </w:r>
    </w:p>
    <w:tbl>
      <w:tblPr>
        <w:tblStyle w:val="TableGrid"/>
        <w:tblW w:w="14395" w:type="dxa"/>
        <w:tblLayout w:type="fixed"/>
        <w:tblLook w:val="04A0" w:firstRow="1" w:lastRow="0" w:firstColumn="1" w:lastColumn="0" w:noHBand="0" w:noVBand="1"/>
        <w:tblCaption w:val="Table 3. Identify Potential Outcomes and Assess Inherent Risks"/>
      </w:tblPr>
      <w:tblGrid>
        <w:gridCol w:w="554"/>
        <w:gridCol w:w="4121"/>
        <w:gridCol w:w="5220"/>
        <w:gridCol w:w="1125"/>
        <w:gridCol w:w="1125"/>
        <w:gridCol w:w="1125"/>
        <w:gridCol w:w="1125"/>
      </w:tblGrid>
      <w:tr w:rsidR="00C76C4B" w:rsidRPr="0031691E" w14:paraId="5541C543" w14:textId="77777777" w:rsidTr="00D23596">
        <w:trPr>
          <w:tblHeader/>
        </w:trPr>
        <w:tc>
          <w:tcPr>
            <w:tcW w:w="554" w:type="dxa"/>
            <w:shd w:val="clear" w:color="auto" w:fill="223767"/>
            <w:vAlign w:val="center"/>
          </w:tcPr>
          <w:p w14:paraId="016837B6" w14:textId="77777777" w:rsidR="00C76C4B" w:rsidRPr="00581FB7" w:rsidRDefault="00C76C4B" w:rsidP="00D23596">
            <w:pPr>
              <w:jc w:val="center"/>
              <w:rPr>
                <w:b/>
                <w:bCs/>
                <w:sz w:val="20"/>
                <w:szCs w:val="20"/>
              </w:rPr>
            </w:pPr>
            <w:r w:rsidRPr="00581FB7">
              <w:rPr>
                <w:b/>
                <w:bCs/>
                <w:sz w:val="20"/>
                <w:szCs w:val="20"/>
              </w:rPr>
              <w:t>Risk #</w:t>
            </w:r>
          </w:p>
        </w:tc>
        <w:tc>
          <w:tcPr>
            <w:tcW w:w="4121" w:type="dxa"/>
            <w:shd w:val="clear" w:color="auto" w:fill="223767"/>
            <w:vAlign w:val="center"/>
          </w:tcPr>
          <w:p w14:paraId="162DFCEA" w14:textId="18712734" w:rsidR="00C76C4B" w:rsidRPr="00581FB7" w:rsidRDefault="00C76C4B" w:rsidP="00D23596">
            <w:pPr>
              <w:jc w:val="center"/>
              <w:rPr>
                <w:b/>
                <w:bCs/>
                <w:sz w:val="20"/>
                <w:szCs w:val="20"/>
              </w:rPr>
            </w:pPr>
            <w:r w:rsidRPr="00581FB7">
              <w:rPr>
                <w:b/>
                <w:bCs/>
                <w:sz w:val="20"/>
                <w:szCs w:val="20"/>
              </w:rPr>
              <w:t>Description of</w:t>
            </w:r>
            <w:r>
              <w:rPr>
                <w:b/>
                <w:bCs/>
                <w:sz w:val="20"/>
                <w:szCs w:val="20"/>
              </w:rPr>
              <w:t xml:space="preserve"> Inherent</w:t>
            </w:r>
            <w:r w:rsidRPr="00581FB7">
              <w:rPr>
                <w:b/>
                <w:bCs/>
                <w:sz w:val="20"/>
                <w:szCs w:val="20"/>
              </w:rPr>
              <w:t xml:space="preserve"> Risk</w:t>
            </w:r>
            <w:r w:rsidR="00CD517B">
              <w:rPr>
                <w:b/>
                <w:bCs/>
                <w:sz w:val="20"/>
                <w:szCs w:val="20"/>
              </w:rPr>
              <w:t xml:space="preserve"> (Associated Waiver/Flexibility</w:t>
            </w:r>
            <w:r w:rsidR="00A6740F">
              <w:rPr>
                <w:b/>
                <w:bCs/>
                <w:sz w:val="20"/>
                <w:szCs w:val="20"/>
              </w:rPr>
              <w:t xml:space="preserve">/Requirement </w:t>
            </w:r>
            <w:r w:rsidR="00CD517B">
              <w:rPr>
                <w:b/>
                <w:bCs/>
                <w:sz w:val="20"/>
                <w:szCs w:val="20"/>
              </w:rPr>
              <w:t>Number[s])</w:t>
            </w:r>
          </w:p>
        </w:tc>
        <w:tc>
          <w:tcPr>
            <w:tcW w:w="5220" w:type="dxa"/>
            <w:shd w:val="clear" w:color="auto" w:fill="223767"/>
            <w:vAlign w:val="center"/>
          </w:tcPr>
          <w:p w14:paraId="7D4C4E88" w14:textId="77777777" w:rsidR="00C76C4B" w:rsidRPr="00581FB7" w:rsidRDefault="00C76C4B" w:rsidP="00D23596">
            <w:pPr>
              <w:jc w:val="center"/>
              <w:rPr>
                <w:b/>
                <w:bCs/>
                <w:sz w:val="20"/>
                <w:szCs w:val="20"/>
              </w:rPr>
            </w:pPr>
            <w:r>
              <w:rPr>
                <w:b/>
                <w:bCs/>
                <w:sz w:val="20"/>
                <w:szCs w:val="20"/>
              </w:rPr>
              <w:t>Potential Outcomes</w:t>
            </w:r>
          </w:p>
        </w:tc>
        <w:tc>
          <w:tcPr>
            <w:tcW w:w="4500" w:type="dxa"/>
            <w:gridSpan w:val="4"/>
            <w:shd w:val="clear" w:color="auto" w:fill="223767"/>
            <w:vAlign w:val="center"/>
          </w:tcPr>
          <w:p w14:paraId="736DC594" w14:textId="77777777" w:rsidR="00C76C4B" w:rsidRPr="00581FB7" w:rsidRDefault="00C76C4B" w:rsidP="00D23596">
            <w:pPr>
              <w:jc w:val="center"/>
              <w:rPr>
                <w:b/>
                <w:bCs/>
                <w:sz w:val="20"/>
                <w:szCs w:val="20"/>
              </w:rPr>
            </w:pPr>
            <w:r>
              <w:rPr>
                <w:b/>
                <w:bCs/>
                <w:sz w:val="20"/>
                <w:szCs w:val="20"/>
              </w:rPr>
              <w:t>Inherent Risk Scoring</w:t>
            </w:r>
          </w:p>
        </w:tc>
      </w:tr>
      <w:tr w:rsidR="002A7235" w:rsidRPr="0031691E" w14:paraId="558CABB5" w14:textId="77777777" w:rsidTr="00D23596">
        <w:trPr>
          <w:tblHeader/>
        </w:trPr>
        <w:tc>
          <w:tcPr>
            <w:tcW w:w="554" w:type="dxa"/>
            <w:shd w:val="clear" w:color="auto" w:fill="0098AA"/>
            <w:vAlign w:val="center"/>
          </w:tcPr>
          <w:p w14:paraId="573976FA" w14:textId="77777777" w:rsidR="002A7235" w:rsidRPr="00535BDC" w:rsidRDefault="002A7235" w:rsidP="00D23596">
            <w:pPr>
              <w:jc w:val="center"/>
              <w:rPr>
                <w:b/>
                <w:bCs/>
                <w:sz w:val="8"/>
                <w:szCs w:val="8"/>
              </w:rPr>
            </w:pPr>
            <w:r w:rsidRPr="00535BDC">
              <w:rPr>
                <w:b/>
                <w:bCs/>
                <w:color w:val="0098AA"/>
                <w:sz w:val="8"/>
                <w:szCs w:val="8"/>
              </w:rPr>
              <w:t>Risk #</w:t>
            </w:r>
          </w:p>
        </w:tc>
        <w:tc>
          <w:tcPr>
            <w:tcW w:w="4121" w:type="dxa"/>
            <w:shd w:val="clear" w:color="auto" w:fill="0098AA"/>
            <w:vAlign w:val="center"/>
          </w:tcPr>
          <w:p w14:paraId="52963447" w14:textId="77777777" w:rsidR="002A7235" w:rsidRPr="00535BDC" w:rsidRDefault="002A7235" w:rsidP="00D23596">
            <w:pPr>
              <w:jc w:val="center"/>
              <w:rPr>
                <w:b/>
                <w:bCs/>
                <w:sz w:val="8"/>
                <w:szCs w:val="8"/>
              </w:rPr>
            </w:pPr>
            <w:r w:rsidRPr="00535BDC">
              <w:rPr>
                <w:b/>
                <w:bCs/>
                <w:color w:val="0098AA"/>
                <w:sz w:val="8"/>
                <w:szCs w:val="8"/>
              </w:rPr>
              <w:t>Description of Inherent Risk (Associated Waiver/Flexibility/Requirement Number[s])</w:t>
            </w:r>
          </w:p>
        </w:tc>
        <w:tc>
          <w:tcPr>
            <w:tcW w:w="5220" w:type="dxa"/>
            <w:shd w:val="clear" w:color="auto" w:fill="0098AA"/>
            <w:vAlign w:val="center"/>
          </w:tcPr>
          <w:p w14:paraId="6760715D" w14:textId="77777777" w:rsidR="002A7235" w:rsidRPr="00581FB7" w:rsidRDefault="00535BDC" w:rsidP="00D23596">
            <w:pPr>
              <w:jc w:val="center"/>
              <w:rPr>
                <w:b/>
                <w:bCs/>
                <w:sz w:val="20"/>
                <w:szCs w:val="20"/>
              </w:rPr>
            </w:pPr>
            <w:r w:rsidRPr="00535BDC">
              <w:rPr>
                <w:b/>
                <w:bCs/>
                <w:color w:val="0098AA"/>
                <w:sz w:val="8"/>
                <w:szCs w:val="8"/>
              </w:rPr>
              <w:t>Potential Outcomes</w:t>
            </w:r>
          </w:p>
        </w:tc>
        <w:tc>
          <w:tcPr>
            <w:tcW w:w="1125" w:type="dxa"/>
            <w:shd w:val="clear" w:color="auto" w:fill="0098AA"/>
            <w:vAlign w:val="center"/>
          </w:tcPr>
          <w:p w14:paraId="79E9FA5D" w14:textId="77777777" w:rsidR="00535BDC" w:rsidRPr="00535BDC" w:rsidRDefault="00535BDC" w:rsidP="00D23596">
            <w:pPr>
              <w:jc w:val="center"/>
              <w:rPr>
                <w:b/>
                <w:bCs/>
                <w:color w:val="0098AA"/>
                <w:sz w:val="8"/>
                <w:szCs w:val="8"/>
              </w:rPr>
            </w:pPr>
            <w:r w:rsidRPr="00535BDC">
              <w:rPr>
                <w:b/>
                <w:bCs/>
                <w:color w:val="0098AA"/>
                <w:sz w:val="8"/>
                <w:szCs w:val="8"/>
              </w:rPr>
              <w:t>Inherent Risk Scoring</w:t>
            </w:r>
            <w:r>
              <w:rPr>
                <w:b/>
                <w:bCs/>
                <w:color w:val="0098AA"/>
                <w:sz w:val="8"/>
                <w:szCs w:val="8"/>
              </w:rPr>
              <w:t>:</w:t>
            </w:r>
          </w:p>
          <w:p w14:paraId="2036AC1C" w14:textId="77777777" w:rsidR="002A7235" w:rsidRPr="004C51AC" w:rsidRDefault="002A7235" w:rsidP="00D23596">
            <w:pPr>
              <w:jc w:val="center"/>
              <w:rPr>
                <w:b/>
                <w:bCs/>
                <w:color w:val="FFFFFF" w:themeColor="background1"/>
                <w:sz w:val="20"/>
                <w:szCs w:val="20"/>
              </w:rPr>
            </w:pPr>
            <w:r w:rsidRPr="0034426B">
              <w:rPr>
                <w:b/>
                <w:bCs/>
                <w:sz w:val="20"/>
                <w:szCs w:val="20"/>
              </w:rPr>
              <w:t>Likelihood</w:t>
            </w:r>
          </w:p>
        </w:tc>
        <w:tc>
          <w:tcPr>
            <w:tcW w:w="1125" w:type="dxa"/>
            <w:shd w:val="clear" w:color="auto" w:fill="0098AA"/>
            <w:vAlign w:val="center"/>
          </w:tcPr>
          <w:p w14:paraId="6C757E6B" w14:textId="77777777" w:rsidR="00535BDC" w:rsidRPr="00535BDC" w:rsidRDefault="00535BDC" w:rsidP="00D23596">
            <w:pPr>
              <w:jc w:val="center"/>
              <w:rPr>
                <w:b/>
                <w:bCs/>
                <w:color w:val="0098AA"/>
                <w:sz w:val="8"/>
                <w:szCs w:val="8"/>
              </w:rPr>
            </w:pPr>
            <w:r w:rsidRPr="00535BDC">
              <w:rPr>
                <w:b/>
                <w:bCs/>
                <w:color w:val="0098AA"/>
                <w:sz w:val="8"/>
                <w:szCs w:val="8"/>
              </w:rPr>
              <w:t>Inherent Risk Scoring</w:t>
            </w:r>
            <w:r>
              <w:rPr>
                <w:b/>
                <w:bCs/>
                <w:color w:val="0098AA"/>
                <w:sz w:val="8"/>
                <w:szCs w:val="8"/>
              </w:rPr>
              <w:t>:</w:t>
            </w:r>
          </w:p>
          <w:p w14:paraId="727FBD50" w14:textId="77777777" w:rsidR="002A7235" w:rsidRPr="004C51AC" w:rsidRDefault="002A7235" w:rsidP="00D23596">
            <w:pPr>
              <w:jc w:val="center"/>
              <w:rPr>
                <w:b/>
                <w:bCs/>
                <w:color w:val="FFFFFF" w:themeColor="background1"/>
                <w:sz w:val="20"/>
                <w:szCs w:val="20"/>
              </w:rPr>
            </w:pPr>
            <w:r w:rsidRPr="0034426B">
              <w:rPr>
                <w:b/>
                <w:bCs/>
                <w:sz w:val="20"/>
                <w:szCs w:val="20"/>
              </w:rPr>
              <w:t>Harm</w:t>
            </w:r>
          </w:p>
        </w:tc>
        <w:tc>
          <w:tcPr>
            <w:tcW w:w="1125" w:type="dxa"/>
            <w:shd w:val="clear" w:color="auto" w:fill="0098AA"/>
            <w:vAlign w:val="center"/>
          </w:tcPr>
          <w:p w14:paraId="298E9C60" w14:textId="77777777" w:rsidR="00535BDC" w:rsidRPr="00535BDC" w:rsidRDefault="00535BDC" w:rsidP="00D23596">
            <w:pPr>
              <w:jc w:val="center"/>
              <w:rPr>
                <w:b/>
                <w:bCs/>
                <w:color w:val="0098AA"/>
                <w:sz w:val="8"/>
                <w:szCs w:val="8"/>
              </w:rPr>
            </w:pPr>
            <w:r w:rsidRPr="00535BDC">
              <w:rPr>
                <w:b/>
                <w:bCs/>
                <w:color w:val="0098AA"/>
                <w:sz w:val="8"/>
                <w:szCs w:val="8"/>
              </w:rPr>
              <w:t>Inherent Risk Scoring</w:t>
            </w:r>
            <w:r>
              <w:rPr>
                <w:b/>
                <w:bCs/>
                <w:color w:val="0098AA"/>
                <w:sz w:val="8"/>
                <w:szCs w:val="8"/>
              </w:rPr>
              <w:t>:</w:t>
            </w:r>
          </w:p>
          <w:p w14:paraId="5F11E185" w14:textId="77777777" w:rsidR="002A7235" w:rsidRPr="004C51AC" w:rsidRDefault="002A7235" w:rsidP="00D23596">
            <w:pPr>
              <w:jc w:val="center"/>
              <w:rPr>
                <w:b/>
                <w:bCs/>
                <w:color w:val="FFFFFF" w:themeColor="background1"/>
                <w:sz w:val="20"/>
                <w:szCs w:val="20"/>
              </w:rPr>
            </w:pPr>
            <w:r w:rsidRPr="0034426B">
              <w:rPr>
                <w:b/>
                <w:bCs/>
                <w:sz w:val="20"/>
                <w:szCs w:val="20"/>
              </w:rPr>
              <w:t>Dollars</w:t>
            </w:r>
          </w:p>
        </w:tc>
        <w:tc>
          <w:tcPr>
            <w:tcW w:w="1125" w:type="dxa"/>
            <w:shd w:val="clear" w:color="auto" w:fill="0098AA"/>
            <w:vAlign w:val="center"/>
          </w:tcPr>
          <w:p w14:paraId="4C059291" w14:textId="77777777" w:rsidR="00535BDC" w:rsidRPr="00535BDC" w:rsidRDefault="00535BDC" w:rsidP="00D23596">
            <w:pPr>
              <w:jc w:val="center"/>
              <w:rPr>
                <w:b/>
                <w:bCs/>
                <w:color w:val="0098AA"/>
                <w:sz w:val="8"/>
                <w:szCs w:val="8"/>
              </w:rPr>
            </w:pPr>
            <w:r w:rsidRPr="00535BDC">
              <w:rPr>
                <w:b/>
                <w:bCs/>
                <w:color w:val="0098AA"/>
                <w:sz w:val="8"/>
                <w:szCs w:val="8"/>
              </w:rPr>
              <w:t>Inherent Risk Scoring</w:t>
            </w:r>
            <w:r>
              <w:rPr>
                <w:b/>
                <w:bCs/>
                <w:color w:val="0098AA"/>
                <w:sz w:val="8"/>
                <w:szCs w:val="8"/>
              </w:rPr>
              <w:t>:</w:t>
            </w:r>
          </w:p>
          <w:p w14:paraId="0CD4AA0F" w14:textId="77777777" w:rsidR="002A7235" w:rsidRPr="004C51AC" w:rsidRDefault="002A7235" w:rsidP="00D23596">
            <w:pPr>
              <w:jc w:val="center"/>
              <w:rPr>
                <w:b/>
                <w:bCs/>
                <w:color w:val="FFFFFF" w:themeColor="background1"/>
                <w:sz w:val="20"/>
                <w:szCs w:val="20"/>
              </w:rPr>
            </w:pPr>
            <w:r w:rsidRPr="0034426B">
              <w:rPr>
                <w:b/>
                <w:bCs/>
                <w:sz w:val="20"/>
                <w:szCs w:val="20"/>
              </w:rPr>
              <w:t>Overall</w:t>
            </w:r>
          </w:p>
        </w:tc>
      </w:tr>
      <w:tr w:rsidR="002A7235" w:rsidRPr="0031691E" w14:paraId="0522B34B" w14:textId="77777777" w:rsidTr="00FA3F34">
        <w:tc>
          <w:tcPr>
            <w:tcW w:w="554" w:type="dxa"/>
            <w:shd w:val="clear" w:color="auto" w:fill="auto"/>
            <w:vAlign w:val="center"/>
          </w:tcPr>
          <w:p w14:paraId="10A429AE" w14:textId="77777777" w:rsidR="002A7235" w:rsidRDefault="002A7235" w:rsidP="002A7235">
            <w:pPr>
              <w:jc w:val="center"/>
              <w:rPr>
                <w:sz w:val="20"/>
                <w:szCs w:val="20"/>
              </w:rPr>
            </w:pPr>
            <w:r>
              <w:rPr>
                <w:sz w:val="20"/>
                <w:szCs w:val="20"/>
              </w:rPr>
              <w:t>1</w:t>
            </w:r>
          </w:p>
        </w:tc>
        <w:tc>
          <w:tcPr>
            <w:tcW w:w="4121" w:type="dxa"/>
            <w:shd w:val="clear" w:color="auto" w:fill="auto"/>
          </w:tcPr>
          <w:p w14:paraId="04DFB369" w14:textId="5C4706DE" w:rsidR="002A7235" w:rsidRPr="0031691E" w:rsidRDefault="002A7235" w:rsidP="00437EC6">
            <w:pPr>
              <w:rPr>
                <w:sz w:val="20"/>
                <w:szCs w:val="20"/>
              </w:rPr>
            </w:pPr>
            <w:r w:rsidRPr="006E74FF">
              <w:rPr>
                <w:b/>
                <w:bCs/>
              </w:rPr>
              <w:t>EXAMPLE</w:t>
            </w:r>
            <w:r>
              <w:rPr>
                <w:b/>
                <w:bCs/>
              </w:rPr>
              <w:t xml:space="preserve">:  </w:t>
            </w:r>
            <w:r w:rsidRPr="005726F0">
              <w:rPr>
                <w:sz w:val="20"/>
                <w:szCs w:val="20"/>
              </w:rPr>
              <w:t>Ineligible individuals remain enrolled in coverage after the permissible period</w:t>
            </w:r>
            <w:r w:rsidR="00C44FBA">
              <w:rPr>
                <w:sz w:val="20"/>
                <w:szCs w:val="20"/>
              </w:rPr>
              <w:t xml:space="preserve"> (</w:t>
            </w:r>
            <w:r w:rsidR="00A57BF1">
              <w:rPr>
                <w:sz w:val="20"/>
                <w:szCs w:val="20"/>
              </w:rPr>
              <w:t xml:space="preserve">i.e., </w:t>
            </w:r>
            <w:r w:rsidR="006F46B3">
              <w:rPr>
                <w:sz w:val="20"/>
                <w:szCs w:val="20"/>
              </w:rPr>
              <w:t>through the end of the unwinding period after the PHE ends)</w:t>
            </w:r>
            <w:r w:rsidRPr="005726F0">
              <w:rPr>
                <w:sz w:val="20"/>
                <w:szCs w:val="20"/>
              </w:rPr>
              <w:t xml:space="preserve"> given the volume of cases to process and limited time to do so</w:t>
            </w:r>
            <w:r>
              <w:rPr>
                <w:sz w:val="20"/>
                <w:szCs w:val="20"/>
              </w:rPr>
              <w:t xml:space="preserve"> </w:t>
            </w:r>
            <w:r w:rsidRPr="00C01073">
              <w:rPr>
                <w:sz w:val="20"/>
                <w:szCs w:val="20"/>
              </w:rPr>
              <w:t>(1)</w:t>
            </w:r>
            <w:r w:rsidRPr="005726F0">
              <w:rPr>
                <w:sz w:val="20"/>
                <w:szCs w:val="20"/>
              </w:rPr>
              <w:t>.</w:t>
            </w:r>
          </w:p>
        </w:tc>
        <w:tc>
          <w:tcPr>
            <w:tcW w:w="5220" w:type="dxa"/>
            <w:shd w:val="clear" w:color="auto" w:fill="auto"/>
          </w:tcPr>
          <w:p w14:paraId="14F2634B" w14:textId="77777777" w:rsidR="002A7235" w:rsidRPr="00C76C4B" w:rsidRDefault="002A7235" w:rsidP="002A7235">
            <w:pPr>
              <w:rPr>
                <w:sz w:val="20"/>
                <w:szCs w:val="20"/>
              </w:rPr>
            </w:pPr>
            <w:r w:rsidRPr="006E74FF">
              <w:rPr>
                <w:b/>
                <w:bCs/>
              </w:rPr>
              <w:t>EXAMPLE</w:t>
            </w:r>
            <w:r>
              <w:rPr>
                <w:b/>
                <w:bCs/>
              </w:rPr>
              <w:t>:</w:t>
            </w:r>
          </w:p>
          <w:p w14:paraId="31D7E4CD" w14:textId="77777777" w:rsidR="002A7235" w:rsidRDefault="002A7235" w:rsidP="002A7235">
            <w:pPr>
              <w:pStyle w:val="ListParagraph"/>
              <w:numPr>
                <w:ilvl w:val="0"/>
                <w:numId w:val="8"/>
              </w:numPr>
              <w:ind w:left="437"/>
              <w:rPr>
                <w:sz w:val="20"/>
                <w:szCs w:val="20"/>
              </w:rPr>
            </w:pPr>
            <w:r w:rsidRPr="00187FF1">
              <w:rPr>
                <w:sz w:val="20"/>
                <w:szCs w:val="20"/>
              </w:rPr>
              <w:t>Improper continued enrollment</w:t>
            </w:r>
            <w:r>
              <w:rPr>
                <w:sz w:val="20"/>
                <w:szCs w:val="20"/>
              </w:rPr>
              <w:t>, if state does not appropriately or timely redetermine eligibility based on identified changes based on change of circumstances or renewal</w:t>
            </w:r>
          </w:p>
          <w:p w14:paraId="42715AEC" w14:textId="77777777" w:rsidR="002A7235" w:rsidRPr="00422402" w:rsidRDefault="002A7235" w:rsidP="002A7235">
            <w:pPr>
              <w:pStyle w:val="ListParagraph"/>
              <w:numPr>
                <w:ilvl w:val="0"/>
                <w:numId w:val="8"/>
              </w:numPr>
              <w:ind w:left="437"/>
              <w:rPr>
                <w:sz w:val="20"/>
                <w:szCs w:val="20"/>
              </w:rPr>
            </w:pPr>
            <w:r>
              <w:rPr>
                <w:sz w:val="20"/>
                <w:szCs w:val="20"/>
              </w:rPr>
              <w:t>Potential adverse audit finding</w:t>
            </w:r>
          </w:p>
        </w:tc>
        <w:tc>
          <w:tcPr>
            <w:tcW w:w="1125" w:type="dxa"/>
            <w:shd w:val="clear" w:color="auto" w:fill="auto"/>
          </w:tcPr>
          <w:p w14:paraId="11B9F065" w14:textId="77777777" w:rsidR="002A7235" w:rsidRPr="0031691E" w:rsidRDefault="002A7235" w:rsidP="002A7235">
            <w:pPr>
              <w:jc w:val="center"/>
              <w:rPr>
                <w:sz w:val="20"/>
                <w:szCs w:val="20"/>
              </w:rPr>
            </w:pPr>
            <w:r>
              <w:rPr>
                <w:sz w:val="20"/>
                <w:szCs w:val="20"/>
              </w:rPr>
              <w:t>Medium</w:t>
            </w:r>
          </w:p>
        </w:tc>
        <w:tc>
          <w:tcPr>
            <w:tcW w:w="1125" w:type="dxa"/>
            <w:shd w:val="clear" w:color="auto" w:fill="auto"/>
          </w:tcPr>
          <w:p w14:paraId="2548124F" w14:textId="77777777" w:rsidR="002A7235" w:rsidRPr="0031691E" w:rsidRDefault="002A7235" w:rsidP="002A7235">
            <w:pPr>
              <w:jc w:val="center"/>
              <w:rPr>
                <w:sz w:val="20"/>
                <w:szCs w:val="20"/>
              </w:rPr>
            </w:pPr>
            <w:r>
              <w:rPr>
                <w:sz w:val="20"/>
                <w:szCs w:val="20"/>
              </w:rPr>
              <w:t>Low</w:t>
            </w:r>
          </w:p>
        </w:tc>
        <w:tc>
          <w:tcPr>
            <w:tcW w:w="1125" w:type="dxa"/>
            <w:shd w:val="clear" w:color="auto" w:fill="auto"/>
          </w:tcPr>
          <w:p w14:paraId="58F31C57" w14:textId="77777777" w:rsidR="002A7235" w:rsidRPr="0031691E" w:rsidRDefault="002A7235" w:rsidP="002A7235">
            <w:pPr>
              <w:jc w:val="center"/>
              <w:rPr>
                <w:sz w:val="20"/>
                <w:szCs w:val="20"/>
              </w:rPr>
            </w:pPr>
            <w:r>
              <w:rPr>
                <w:sz w:val="20"/>
                <w:szCs w:val="20"/>
              </w:rPr>
              <w:t>Medium</w:t>
            </w:r>
          </w:p>
        </w:tc>
        <w:tc>
          <w:tcPr>
            <w:tcW w:w="1125" w:type="dxa"/>
            <w:shd w:val="clear" w:color="auto" w:fill="auto"/>
          </w:tcPr>
          <w:p w14:paraId="019325ED" w14:textId="77777777" w:rsidR="002A7235" w:rsidRPr="0031691E" w:rsidRDefault="002A7235" w:rsidP="002A7235">
            <w:pPr>
              <w:jc w:val="center"/>
              <w:rPr>
                <w:sz w:val="20"/>
                <w:szCs w:val="20"/>
              </w:rPr>
            </w:pPr>
            <w:r>
              <w:rPr>
                <w:sz w:val="20"/>
                <w:szCs w:val="20"/>
              </w:rPr>
              <w:t>Medium</w:t>
            </w:r>
          </w:p>
        </w:tc>
      </w:tr>
      <w:tr w:rsidR="002A7235" w:rsidRPr="0031691E" w14:paraId="12BEED28" w14:textId="77777777" w:rsidTr="00FA3F34">
        <w:tc>
          <w:tcPr>
            <w:tcW w:w="554" w:type="dxa"/>
            <w:shd w:val="clear" w:color="auto" w:fill="auto"/>
            <w:vAlign w:val="center"/>
          </w:tcPr>
          <w:p w14:paraId="1F44EE96" w14:textId="77777777" w:rsidR="002A7235" w:rsidRDefault="002A7235" w:rsidP="002A7235">
            <w:pPr>
              <w:jc w:val="center"/>
              <w:rPr>
                <w:sz w:val="20"/>
                <w:szCs w:val="20"/>
              </w:rPr>
            </w:pPr>
            <w:r>
              <w:rPr>
                <w:sz w:val="20"/>
                <w:szCs w:val="20"/>
              </w:rPr>
              <w:t>2</w:t>
            </w:r>
          </w:p>
        </w:tc>
        <w:tc>
          <w:tcPr>
            <w:tcW w:w="4121" w:type="dxa"/>
            <w:shd w:val="clear" w:color="auto" w:fill="auto"/>
          </w:tcPr>
          <w:p w14:paraId="3281A128" w14:textId="77777777" w:rsidR="002A7235" w:rsidRPr="0031691E" w:rsidRDefault="002A7235" w:rsidP="002A7235">
            <w:pPr>
              <w:rPr>
                <w:sz w:val="20"/>
                <w:szCs w:val="20"/>
              </w:rPr>
            </w:pPr>
          </w:p>
        </w:tc>
        <w:tc>
          <w:tcPr>
            <w:tcW w:w="5220" w:type="dxa"/>
            <w:shd w:val="clear" w:color="auto" w:fill="auto"/>
          </w:tcPr>
          <w:p w14:paraId="3210399C" w14:textId="77777777" w:rsidR="002A7235" w:rsidRPr="0031691E" w:rsidRDefault="002A7235" w:rsidP="002A7235">
            <w:pPr>
              <w:rPr>
                <w:sz w:val="20"/>
                <w:szCs w:val="20"/>
              </w:rPr>
            </w:pPr>
          </w:p>
        </w:tc>
        <w:tc>
          <w:tcPr>
            <w:tcW w:w="1125" w:type="dxa"/>
            <w:shd w:val="clear" w:color="auto" w:fill="auto"/>
          </w:tcPr>
          <w:p w14:paraId="337EEF1A" w14:textId="77777777" w:rsidR="002A7235" w:rsidRPr="0031691E" w:rsidRDefault="002A7235" w:rsidP="002A7235">
            <w:pPr>
              <w:rPr>
                <w:sz w:val="20"/>
                <w:szCs w:val="20"/>
              </w:rPr>
            </w:pPr>
          </w:p>
        </w:tc>
        <w:tc>
          <w:tcPr>
            <w:tcW w:w="1125" w:type="dxa"/>
            <w:shd w:val="clear" w:color="auto" w:fill="auto"/>
          </w:tcPr>
          <w:p w14:paraId="27A776FA" w14:textId="77777777" w:rsidR="002A7235" w:rsidRPr="0031691E" w:rsidRDefault="002A7235" w:rsidP="002A7235">
            <w:pPr>
              <w:rPr>
                <w:sz w:val="20"/>
                <w:szCs w:val="20"/>
              </w:rPr>
            </w:pPr>
          </w:p>
        </w:tc>
        <w:tc>
          <w:tcPr>
            <w:tcW w:w="1125" w:type="dxa"/>
            <w:shd w:val="clear" w:color="auto" w:fill="auto"/>
          </w:tcPr>
          <w:p w14:paraId="5E8C0B54" w14:textId="77777777" w:rsidR="002A7235" w:rsidRPr="0031691E" w:rsidRDefault="002A7235" w:rsidP="002A7235">
            <w:pPr>
              <w:rPr>
                <w:sz w:val="20"/>
                <w:szCs w:val="20"/>
              </w:rPr>
            </w:pPr>
          </w:p>
        </w:tc>
        <w:tc>
          <w:tcPr>
            <w:tcW w:w="1125" w:type="dxa"/>
            <w:shd w:val="clear" w:color="auto" w:fill="auto"/>
          </w:tcPr>
          <w:p w14:paraId="3D9B880B" w14:textId="77777777" w:rsidR="002A7235" w:rsidRPr="0031691E" w:rsidRDefault="002A7235" w:rsidP="002A7235">
            <w:pPr>
              <w:rPr>
                <w:sz w:val="20"/>
                <w:szCs w:val="20"/>
              </w:rPr>
            </w:pPr>
          </w:p>
        </w:tc>
      </w:tr>
      <w:tr w:rsidR="002A7235" w:rsidRPr="0031691E" w14:paraId="10E0DDA9" w14:textId="77777777" w:rsidTr="00FA3F34">
        <w:tc>
          <w:tcPr>
            <w:tcW w:w="554" w:type="dxa"/>
            <w:shd w:val="clear" w:color="auto" w:fill="auto"/>
            <w:vAlign w:val="center"/>
          </w:tcPr>
          <w:p w14:paraId="419CE53B" w14:textId="77777777" w:rsidR="002A7235" w:rsidRDefault="002A7235" w:rsidP="002A7235">
            <w:pPr>
              <w:jc w:val="center"/>
              <w:rPr>
                <w:sz w:val="20"/>
                <w:szCs w:val="20"/>
              </w:rPr>
            </w:pPr>
            <w:r>
              <w:rPr>
                <w:sz w:val="20"/>
                <w:szCs w:val="20"/>
              </w:rPr>
              <w:t>3</w:t>
            </w:r>
          </w:p>
        </w:tc>
        <w:tc>
          <w:tcPr>
            <w:tcW w:w="4121" w:type="dxa"/>
            <w:shd w:val="clear" w:color="auto" w:fill="auto"/>
          </w:tcPr>
          <w:p w14:paraId="3B12F023" w14:textId="77777777" w:rsidR="002A7235" w:rsidRPr="0031691E" w:rsidRDefault="002A7235" w:rsidP="002A7235">
            <w:pPr>
              <w:rPr>
                <w:sz w:val="20"/>
                <w:szCs w:val="20"/>
              </w:rPr>
            </w:pPr>
          </w:p>
        </w:tc>
        <w:tc>
          <w:tcPr>
            <w:tcW w:w="5220" w:type="dxa"/>
            <w:shd w:val="clear" w:color="auto" w:fill="auto"/>
          </w:tcPr>
          <w:p w14:paraId="6093312D" w14:textId="77777777" w:rsidR="002A7235" w:rsidRPr="0031691E" w:rsidRDefault="002A7235" w:rsidP="002A7235">
            <w:pPr>
              <w:rPr>
                <w:sz w:val="20"/>
                <w:szCs w:val="20"/>
              </w:rPr>
            </w:pPr>
          </w:p>
        </w:tc>
        <w:tc>
          <w:tcPr>
            <w:tcW w:w="1125" w:type="dxa"/>
            <w:shd w:val="clear" w:color="auto" w:fill="auto"/>
          </w:tcPr>
          <w:p w14:paraId="09D2699C" w14:textId="77777777" w:rsidR="002A7235" w:rsidRPr="0031691E" w:rsidRDefault="002A7235" w:rsidP="002A7235">
            <w:pPr>
              <w:rPr>
                <w:sz w:val="20"/>
                <w:szCs w:val="20"/>
              </w:rPr>
            </w:pPr>
          </w:p>
        </w:tc>
        <w:tc>
          <w:tcPr>
            <w:tcW w:w="1125" w:type="dxa"/>
            <w:shd w:val="clear" w:color="auto" w:fill="auto"/>
          </w:tcPr>
          <w:p w14:paraId="682A4C7A" w14:textId="77777777" w:rsidR="002A7235" w:rsidRPr="0031691E" w:rsidRDefault="002A7235" w:rsidP="002A7235">
            <w:pPr>
              <w:rPr>
                <w:sz w:val="20"/>
                <w:szCs w:val="20"/>
              </w:rPr>
            </w:pPr>
          </w:p>
        </w:tc>
        <w:tc>
          <w:tcPr>
            <w:tcW w:w="1125" w:type="dxa"/>
            <w:shd w:val="clear" w:color="auto" w:fill="auto"/>
          </w:tcPr>
          <w:p w14:paraId="39C4D71C" w14:textId="77777777" w:rsidR="002A7235" w:rsidRPr="0031691E" w:rsidRDefault="002A7235" w:rsidP="002A7235">
            <w:pPr>
              <w:rPr>
                <w:sz w:val="20"/>
                <w:szCs w:val="20"/>
              </w:rPr>
            </w:pPr>
          </w:p>
        </w:tc>
        <w:tc>
          <w:tcPr>
            <w:tcW w:w="1125" w:type="dxa"/>
            <w:shd w:val="clear" w:color="auto" w:fill="auto"/>
          </w:tcPr>
          <w:p w14:paraId="4F7D3180" w14:textId="77777777" w:rsidR="002A7235" w:rsidRPr="0031691E" w:rsidRDefault="002A7235" w:rsidP="002A7235">
            <w:pPr>
              <w:rPr>
                <w:sz w:val="20"/>
                <w:szCs w:val="20"/>
              </w:rPr>
            </w:pPr>
          </w:p>
        </w:tc>
      </w:tr>
    </w:tbl>
    <w:p w14:paraId="1DA44DED" w14:textId="77777777" w:rsidR="00F34D93" w:rsidRDefault="00F34D93" w:rsidP="00F34D93"/>
    <w:p w14:paraId="434E330C" w14:textId="77777777" w:rsidR="00837858" w:rsidRDefault="00837858" w:rsidP="00F34D93">
      <w:r>
        <w:br w:type="page"/>
      </w:r>
    </w:p>
    <w:p w14:paraId="2A0924CF" w14:textId="77777777" w:rsidR="00F34D93" w:rsidRPr="00210909" w:rsidRDefault="00F34D93" w:rsidP="00F34D93">
      <w:pPr>
        <w:rPr>
          <w:b/>
          <w:bCs/>
        </w:rPr>
      </w:pPr>
      <w:r w:rsidRPr="00210909">
        <w:rPr>
          <w:b/>
          <w:bCs/>
        </w:rPr>
        <w:t xml:space="preserve">Step </w:t>
      </w:r>
      <w:r w:rsidR="00F37ACE">
        <w:rPr>
          <w:b/>
          <w:bCs/>
        </w:rPr>
        <w:t>4</w:t>
      </w:r>
      <w:r w:rsidRPr="00210909">
        <w:rPr>
          <w:b/>
          <w:bCs/>
        </w:rPr>
        <w:t>: Determine risk tolerance</w:t>
      </w:r>
    </w:p>
    <w:p w14:paraId="3BD5DDAF" w14:textId="50B09FE5" w:rsidR="007F5FEB" w:rsidRDefault="00C87B49">
      <w:r>
        <w:t xml:space="preserve">In general, the goal of </w:t>
      </w:r>
      <w:r w:rsidR="00A30718">
        <w:t>risk management is to achieve as low of a risk level as possible; however, it is generally difficult to eliminate all risk</w:t>
      </w:r>
      <w:r>
        <w:t xml:space="preserve">. </w:t>
      </w:r>
      <w:r w:rsidR="00185AD6">
        <w:t xml:space="preserve"> </w:t>
      </w:r>
      <w:r w:rsidR="00A30718">
        <w:t>Understanding that not all risk can be eliminated in most cases, risk tolerance represents the level of risk an entity will accept when trying to achieve a goal.</w:t>
      </w:r>
      <w:r>
        <w:t xml:space="preserve"> </w:t>
      </w:r>
      <w:r w:rsidR="00185AD6">
        <w:t xml:space="preserve"> </w:t>
      </w:r>
      <w:r w:rsidR="00013E52">
        <w:t>The acceptable level of risk tolerance</w:t>
      </w:r>
      <w:r>
        <w:t xml:space="preserve"> depend</w:t>
      </w:r>
      <w:r w:rsidR="00013E52">
        <w:t>s</w:t>
      </w:r>
      <w:r>
        <w:t xml:space="preserve"> on the circumstances </w:t>
      </w:r>
      <w:r w:rsidR="007F5FEB">
        <w:t>within each state’s</w:t>
      </w:r>
      <w:r>
        <w:t xml:space="preserve"> program and other objectives besides mitigating fraud risks. </w:t>
      </w:r>
      <w:r w:rsidR="009D12A0">
        <w:t xml:space="preserve"> </w:t>
      </w:r>
      <w:r w:rsidR="00007479">
        <w:t xml:space="preserve">This is an essential step when determining which risks to address and </w:t>
      </w:r>
      <w:r w:rsidR="00674BA8">
        <w:t xml:space="preserve">to </w:t>
      </w:r>
      <w:r w:rsidR="00007479">
        <w:t>prioritize</w:t>
      </w:r>
      <w:r w:rsidR="00F34D93">
        <w:t>.</w:t>
      </w:r>
    </w:p>
    <w:p w14:paraId="16A65D2A" w14:textId="77777777" w:rsidR="00F34D93" w:rsidRDefault="00007479">
      <w:r>
        <w:t xml:space="preserve">Determining a risk tolerance level </w:t>
      </w:r>
      <w:r w:rsidR="00E30816">
        <w:t xml:space="preserve">may </w:t>
      </w:r>
      <w:r w:rsidR="00F34D93">
        <w:t xml:space="preserve">require engagement with management to determine what level of risk tolerance is acceptable for each risk. </w:t>
      </w:r>
      <w:r w:rsidR="0071170F">
        <w:t xml:space="preserve"> </w:t>
      </w:r>
      <w:r w:rsidR="00F34D93">
        <w:t xml:space="preserve">When faced with limited time and/or resources, states may choose to prioritize risk tolerance discussions on those risks with </w:t>
      </w:r>
      <w:r w:rsidR="009D12A0">
        <w:t>high-risk</w:t>
      </w:r>
      <w:r w:rsidR="00F34D93">
        <w:t xml:space="preserve"> scores. </w:t>
      </w:r>
      <w:r w:rsidR="009D12A0">
        <w:t xml:space="preserve"> </w:t>
      </w:r>
      <w:r w:rsidR="003A148B">
        <w:t xml:space="preserve">Additionally, management </w:t>
      </w:r>
      <w:r w:rsidR="00E30816">
        <w:t xml:space="preserve">may </w:t>
      </w:r>
      <w:r w:rsidR="007F7A90">
        <w:t>revisit</w:t>
      </w:r>
      <w:r w:rsidR="003A148B">
        <w:t xml:space="preserve"> risk tolerances over time as needed.</w:t>
      </w:r>
    </w:p>
    <w:p w14:paraId="0750DEE4" w14:textId="2D35FAD1" w:rsidR="00F34D93" w:rsidRDefault="007F5FEB" w:rsidP="00F15FE3">
      <w:r>
        <w:t>Additionally, w</w:t>
      </w:r>
      <w:r w:rsidR="00DE40C9">
        <w:t xml:space="preserve">hen assessing risk tolerance, </w:t>
      </w:r>
      <w:r w:rsidR="00F34D93">
        <w:t>consider</w:t>
      </w:r>
      <w:r w:rsidR="001B2DA3">
        <w:t>ation should be given to</w:t>
      </w:r>
      <w:r w:rsidR="00F34D93">
        <w:t xml:space="preserve"> whether risk tolerances </w:t>
      </w:r>
      <w:r w:rsidR="001B2DA3">
        <w:t>allow for</w:t>
      </w:r>
      <w:r w:rsidR="00F34D93">
        <w:t xml:space="preserve"> the appropriate design of internal controls that adequately support mitigation of each risk. </w:t>
      </w:r>
      <w:r w:rsidR="009D12A0">
        <w:t xml:space="preserve"> </w:t>
      </w:r>
      <w:r w:rsidR="00F34D93">
        <w:t xml:space="preserve">To do this, </w:t>
      </w:r>
      <w:r w:rsidR="004A37D7">
        <w:t>the</w:t>
      </w:r>
      <w:r w:rsidR="001B2DA3">
        <w:t xml:space="preserve"> state may</w:t>
      </w:r>
      <w:r w:rsidR="00F34D93">
        <w:t xml:space="preserve"> </w:t>
      </w:r>
      <w:r w:rsidR="005E23AF">
        <w:t xml:space="preserve">determine </w:t>
      </w:r>
      <w:r w:rsidR="00F34D93">
        <w:t xml:space="preserve">risk tolerances </w:t>
      </w:r>
      <w:r w:rsidR="00F34D93" w:rsidRPr="00CE2F35">
        <w:t>in the context of applicable laws, regulations, and standards</w:t>
      </w:r>
      <w:r w:rsidR="00F34D93">
        <w:t xml:space="preserve"> as well as the state’s standards of conduct, oversight structure, organizational structure, and expectations of competence.</w:t>
      </w:r>
      <w:r w:rsidR="001E38CD">
        <w:rPr>
          <w:rStyle w:val="FootnoteReference"/>
        </w:rPr>
        <w:footnoteReference w:id="7"/>
      </w:r>
    </w:p>
    <w:p w14:paraId="44425FDC" w14:textId="496C4797" w:rsidR="0041347F" w:rsidRDefault="0041347F" w:rsidP="00F15FE3">
      <w:r>
        <w:rPr>
          <w:b/>
          <w:bCs/>
          <w:sz w:val="20"/>
          <w:szCs w:val="20"/>
        </w:rPr>
        <w:t>Table 4. Determine Risk Tolerance</w:t>
      </w:r>
    </w:p>
    <w:tbl>
      <w:tblPr>
        <w:tblStyle w:val="TableGrid"/>
        <w:tblW w:w="14125" w:type="dxa"/>
        <w:tblLayout w:type="fixed"/>
        <w:tblLook w:val="04A0" w:firstRow="1" w:lastRow="0" w:firstColumn="1" w:lastColumn="0" w:noHBand="0" w:noVBand="1"/>
        <w:tblCaption w:val="Table 4. Determine Risk Tolerance"/>
      </w:tblPr>
      <w:tblGrid>
        <w:gridCol w:w="554"/>
        <w:gridCol w:w="3941"/>
        <w:gridCol w:w="3510"/>
        <w:gridCol w:w="1170"/>
        <w:gridCol w:w="1170"/>
        <w:gridCol w:w="1260"/>
        <w:gridCol w:w="1260"/>
        <w:gridCol w:w="1260"/>
      </w:tblGrid>
      <w:tr w:rsidR="00535BDC" w:rsidRPr="0031691E" w14:paraId="0B4D5DA0" w14:textId="77777777" w:rsidTr="00D23596">
        <w:trPr>
          <w:tblHeader/>
        </w:trPr>
        <w:tc>
          <w:tcPr>
            <w:tcW w:w="554" w:type="dxa"/>
            <w:shd w:val="clear" w:color="auto" w:fill="223767"/>
            <w:vAlign w:val="center"/>
          </w:tcPr>
          <w:p w14:paraId="01DCD0EE" w14:textId="77777777" w:rsidR="00535BDC" w:rsidRPr="00581FB7" w:rsidRDefault="00535BDC" w:rsidP="00D23596">
            <w:pPr>
              <w:jc w:val="center"/>
              <w:rPr>
                <w:b/>
                <w:bCs/>
                <w:sz w:val="20"/>
                <w:szCs w:val="20"/>
              </w:rPr>
            </w:pPr>
            <w:r w:rsidRPr="00581FB7">
              <w:rPr>
                <w:b/>
                <w:bCs/>
                <w:sz w:val="20"/>
                <w:szCs w:val="20"/>
              </w:rPr>
              <w:t>Risk #</w:t>
            </w:r>
          </w:p>
        </w:tc>
        <w:tc>
          <w:tcPr>
            <w:tcW w:w="3941" w:type="dxa"/>
            <w:shd w:val="clear" w:color="auto" w:fill="223767"/>
            <w:vAlign w:val="center"/>
          </w:tcPr>
          <w:p w14:paraId="0F47F835" w14:textId="77777777" w:rsidR="00535BDC" w:rsidRPr="00581FB7" w:rsidRDefault="00535BDC" w:rsidP="00D23596">
            <w:pPr>
              <w:jc w:val="center"/>
              <w:rPr>
                <w:b/>
                <w:bCs/>
                <w:sz w:val="20"/>
                <w:szCs w:val="20"/>
              </w:rPr>
            </w:pPr>
            <w:r w:rsidRPr="00581FB7">
              <w:rPr>
                <w:b/>
                <w:bCs/>
                <w:sz w:val="20"/>
                <w:szCs w:val="20"/>
              </w:rPr>
              <w:t>Description of</w:t>
            </w:r>
            <w:r>
              <w:rPr>
                <w:b/>
                <w:bCs/>
                <w:sz w:val="20"/>
                <w:szCs w:val="20"/>
              </w:rPr>
              <w:t xml:space="preserve"> Inherent</w:t>
            </w:r>
            <w:r w:rsidRPr="00581FB7">
              <w:rPr>
                <w:b/>
                <w:bCs/>
                <w:sz w:val="20"/>
                <w:szCs w:val="20"/>
              </w:rPr>
              <w:t xml:space="preserve"> Risk</w:t>
            </w:r>
            <w:r>
              <w:rPr>
                <w:b/>
                <w:bCs/>
                <w:sz w:val="20"/>
                <w:szCs w:val="20"/>
              </w:rPr>
              <w:t xml:space="preserve"> (Associated Waiver/Flexibility/Requirement Number[s])</w:t>
            </w:r>
          </w:p>
        </w:tc>
        <w:tc>
          <w:tcPr>
            <w:tcW w:w="3510" w:type="dxa"/>
            <w:shd w:val="clear" w:color="auto" w:fill="223767"/>
            <w:vAlign w:val="center"/>
          </w:tcPr>
          <w:p w14:paraId="5709B025" w14:textId="77777777" w:rsidR="00535BDC" w:rsidRPr="00581FB7" w:rsidRDefault="00535BDC" w:rsidP="00D23596">
            <w:pPr>
              <w:jc w:val="center"/>
              <w:rPr>
                <w:b/>
                <w:bCs/>
                <w:sz w:val="20"/>
                <w:szCs w:val="20"/>
              </w:rPr>
            </w:pPr>
            <w:r>
              <w:rPr>
                <w:b/>
                <w:bCs/>
                <w:sz w:val="20"/>
                <w:szCs w:val="20"/>
              </w:rPr>
              <w:t>Potential Outcomes</w:t>
            </w:r>
          </w:p>
        </w:tc>
        <w:tc>
          <w:tcPr>
            <w:tcW w:w="4860" w:type="dxa"/>
            <w:gridSpan w:val="4"/>
            <w:shd w:val="clear" w:color="auto" w:fill="223767"/>
            <w:vAlign w:val="center"/>
          </w:tcPr>
          <w:p w14:paraId="29B75056" w14:textId="77777777" w:rsidR="00535BDC" w:rsidRPr="00581FB7" w:rsidRDefault="00535BDC" w:rsidP="00D23596">
            <w:pPr>
              <w:jc w:val="center"/>
              <w:rPr>
                <w:b/>
                <w:bCs/>
                <w:sz w:val="20"/>
                <w:szCs w:val="20"/>
              </w:rPr>
            </w:pPr>
            <w:r>
              <w:rPr>
                <w:b/>
                <w:bCs/>
                <w:sz w:val="20"/>
                <w:szCs w:val="20"/>
              </w:rPr>
              <w:t>Inherent Risk Scoring</w:t>
            </w:r>
          </w:p>
        </w:tc>
        <w:tc>
          <w:tcPr>
            <w:tcW w:w="1260" w:type="dxa"/>
            <w:shd w:val="clear" w:color="auto" w:fill="223767"/>
            <w:vAlign w:val="center"/>
          </w:tcPr>
          <w:p w14:paraId="7891C55C" w14:textId="77777777" w:rsidR="00535BDC" w:rsidRDefault="00535BDC" w:rsidP="00D23596">
            <w:pPr>
              <w:jc w:val="center"/>
              <w:rPr>
                <w:b/>
                <w:bCs/>
                <w:sz w:val="20"/>
                <w:szCs w:val="20"/>
              </w:rPr>
            </w:pPr>
            <w:r>
              <w:rPr>
                <w:b/>
                <w:bCs/>
                <w:sz w:val="20"/>
                <w:szCs w:val="20"/>
              </w:rPr>
              <w:t>Risk Tolerance</w:t>
            </w:r>
          </w:p>
        </w:tc>
      </w:tr>
      <w:tr w:rsidR="00535BDC" w:rsidRPr="0031691E" w14:paraId="03397BD1" w14:textId="77777777" w:rsidTr="00D23596">
        <w:trPr>
          <w:tblHeader/>
        </w:trPr>
        <w:tc>
          <w:tcPr>
            <w:tcW w:w="554" w:type="dxa"/>
            <w:shd w:val="clear" w:color="auto" w:fill="0098AA"/>
            <w:vAlign w:val="center"/>
          </w:tcPr>
          <w:p w14:paraId="320D78B3" w14:textId="77777777" w:rsidR="00535BDC" w:rsidRPr="00535BDC" w:rsidRDefault="00535BDC" w:rsidP="00D23596">
            <w:pPr>
              <w:jc w:val="center"/>
              <w:rPr>
                <w:b/>
                <w:bCs/>
                <w:sz w:val="8"/>
                <w:szCs w:val="8"/>
              </w:rPr>
            </w:pPr>
            <w:r w:rsidRPr="00535BDC">
              <w:rPr>
                <w:b/>
                <w:bCs/>
                <w:color w:val="0098AA"/>
                <w:sz w:val="8"/>
                <w:szCs w:val="8"/>
              </w:rPr>
              <w:t>Risk #</w:t>
            </w:r>
          </w:p>
        </w:tc>
        <w:tc>
          <w:tcPr>
            <w:tcW w:w="3941" w:type="dxa"/>
            <w:shd w:val="clear" w:color="auto" w:fill="0098AA"/>
            <w:vAlign w:val="center"/>
          </w:tcPr>
          <w:p w14:paraId="49DC3FFF" w14:textId="77777777" w:rsidR="00535BDC" w:rsidRPr="00535BDC" w:rsidRDefault="00535BDC" w:rsidP="00D23596">
            <w:pPr>
              <w:jc w:val="center"/>
              <w:rPr>
                <w:b/>
                <w:bCs/>
                <w:sz w:val="8"/>
                <w:szCs w:val="8"/>
              </w:rPr>
            </w:pPr>
            <w:r w:rsidRPr="00535BDC">
              <w:rPr>
                <w:b/>
                <w:bCs/>
                <w:color w:val="0098AA"/>
                <w:sz w:val="8"/>
                <w:szCs w:val="8"/>
              </w:rPr>
              <w:t>Description of Inherent Risk (Associated Waiver/Flexibility/Requirement Number[s])</w:t>
            </w:r>
          </w:p>
        </w:tc>
        <w:tc>
          <w:tcPr>
            <w:tcW w:w="3510" w:type="dxa"/>
            <w:shd w:val="clear" w:color="auto" w:fill="0098AA"/>
            <w:vAlign w:val="center"/>
          </w:tcPr>
          <w:p w14:paraId="218FF2BB" w14:textId="77777777" w:rsidR="00535BDC" w:rsidRPr="00581FB7" w:rsidRDefault="00535BDC" w:rsidP="00D23596">
            <w:pPr>
              <w:jc w:val="center"/>
              <w:rPr>
                <w:b/>
                <w:bCs/>
                <w:sz w:val="20"/>
                <w:szCs w:val="20"/>
              </w:rPr>
            </w:pPr>
            <w:r w:rsidRPr="00535BDC">
              <w:rPr>
                <w:b/>
                <w:bCs/>
                <w:color w:val="0098AA"/>
                <w:sz w:val="8"/>
                <w:szCs w:val="8"/>
              </w:rPr>
              <w:t>Potential Outcomes</w:t>
            </w:r>
          </w:p>
        </w:tc>
        <w:tc>
          <w:tcPr>
            <w:tcW w:w="1170" w:type="dxa"/>
            <w:shd w:val="clear" w:color="auto" w:fill="0098AA"/>
            <w:vAlign w:val="center"/>
          </w:tcPr>
          <w:p w14:paraId="2A5FA249" w14:textId="77777777" w:rsidR="00535BDC" w:rsidRPr="00535BDC" w:rsidRDefault="00535BDC" w:rsidP="00D23596">
            <w:pPr>
              <w:jc w:val="center"/>
              <w:rPr>
                <w:b/>
                <w:bCs/>
                <w:color w:val="0098AA"/>
                <w:sz w:val="8"/>
                <w:szCs w:val="8"/>
              </w:rPr>
            </w:pPr>
            <w:r w:rsidRPr="00535BDC">
              <w:rPr>
                <w:b/>
                <w:bCs/>
                <w:color w:val="0098AA"/>
                <w:sz w:val="8"/>
                <w:szCs w:val="8"/>
              </w:rPr>
              <w:t>Inherent Risk Scoring</w:t>
            </w:r>
            <w:r>
              <w:rPr>
                <w:b/>
                <w:bCs/>
                <w:color w:val="0098AA"/>
                <w:sz w:val="8"/>
                <w:szCs w:val="8"/>
              </w:rPr>
              <w:t>:</w:t>
            </w:r>
          </w:p>
          <w:p w14:paraId="31E1A6C2" w14:textId="77777777" w:rsidR="00535BDC" w:rsidRPr="004C51AC" w:rsidRDefault="00535BDC" w:rsidP="00D23596">
            <w:pPr>
              <w:jc w:val="center"/>
              <w:rPr>
                <w:b/>
                <w:bCs/>
                <w:color w:val="FFFFFF" w:themeColor="background1"/>
                <w:sz w:val="20"/>
                <w:szCs w:val="20"/>
              </w:rPr>
            </w:pPr>
            <w:r w:rsidRPr="0034426B">
              <w:rPr>
                <w:b/>
                <w:bCs/>
                <w:sz w:val="20"/>
                <w:szCs w:val="20"/>
              </w:rPr>
              <w:t>Likelihood</w:t>
            </w:r>
          </w:p>
        </w:tc>
        <w:tc>
          <w:tcPr>
            <w:tcW w:w="1170" w:type="dxa"/>
            <w:shd w:val="clear" w:color="auto" w:fill="0098AA"/>
            <w:vAlign w:val="center"/>
          </w:tcPr>
          <w:p w14:paraId="38C72AF5" w14:textId="77777777" w:rsidR="00535BDC" w:rsidRPr="00535BDC" w:rsidRDefault="00535BDC" w:rsidP="00D23596">
            <w:pPr>
              <w:jc w:val="center"/>
              <w:rPr>
                <w:b/>
                <w:bCs/>
                <w:color w:val="0098AA"/>
                <w:sz w:val="8"/>
                <w:szCs w:val="8"/>
              </w:rPr>
            </w:pPr>
            <w:r w:rsidRPr="00535BDC">
              <w:rPr>
                <w:b/>
                <w:bCs/>
                <w:color w:val="0098AA"/>
                <w:sz w:val="8"/>
                <w:szCs w:val="8"/>
              </w:rPr>
              <w:t>Inherent Risk Scoring</w:t>
            </w:r>
            <w:r>
              <w:rPr>
                <w:b/>
                <w:bCs/>
                <w:color w:val="0098AA"/>
                <w:sz w:val="8"/>
                <w:szCs w:val="8"/>
              </w:rPr>
              <w:t>:</w:t>
            </w:r>
          </w:p>
          <w:p w14:paraId="4BC7C19C" w14:textId="77777777" w:rsidR="00535BDC" w:rsidRPr="004C51AC" w:rsidRDefault="00535BDC" w:rsidP="00D23596">
            <w:pPr>
              <w:jc w:val="center"/>
              <w:rPr>
                <w:b/>
                <w:bCs/>
                <w:color w:val="FFFFFF" w:themeColor="background1"/>
                <w:sz w:val="20"/>
                <w:szCs w:val="20"/>
              </w:rPr>
            </w:pPr>
            <w:r w:rsidRPr="0034426B">
              <w:rPr>
                <w:b/>
                <w:bCs/>
                <w:sz w:val="20"/>
                <w:szCs w:val="20"/>
              </w:rPr>
              <w:t>Harm</w:t>
            </w:r>
          </w:p>
        </w:tc>
        <w:tc>
          <w:tcPr>
            <w:tcW w:w="1260" w:type="dxa"/>
            <w:shd w:val="clear" w:color="auto" w:fill="0098AA"/>
            <w:vAlign w:val="center"/>
          </w:tcPr>
          <w:p w14:paraId="495B57E3" w14:textId="77777777" w:rsidR="00535BDC" w:rsidRPr="00535BDC" w:rsidRDefault="00535BDC" w:rsidP="00D23596">
            <w:pPr>
              <w:jc w:val="center"/>
              <w:rPr>
                <w:b/>
                <w:bCs/>
                <w:color w:val="0098AA"/>
                <w:sz w:val="8"/>
                <w:szCs w:val="8"/>
              </w:rPr>
            </w:pPr>
            <w:r w:rsidRPr="00535BDC">
              <w:rPr>
                <w:b/>
                <w:bCs/>
                <w:color w:val="0098AA"/>
                <w:sz w:val="8"/>
                <w:szCs w:val="8"/>
              </w:rPr>
              <w:t>Inherent Risk Scoring</w:t>
            </w:r>
            <w:r>
              <w:rPr>
                <w:b/>
                <w:bCs/>
                <w:color w:val="0098AA"/>
                <w:sz w:val="8"/>
                <w:szCs w:val="8"/>
              </w:rPr>
              <w:t>:</w:t>
            </w:r>
          </w:p>
          <w:p w14:paraId="50476D9D" w14:textId="77777777" w:rsidR="00535BDC" w:rsidRPr="004C51AC" w:rsidRDefault="00535BDC" w:rsidP="00D23596">
            <w:pPr>
              <w:jc w:val="center"/>
              <w:rPr>
                <w:b/>
                <w:bCs/>
                <w:color w:val="FFFFFF" w:themeColor="background1"/>
                <w:sz w:val="20"/>
                <w:szCs w:val="20"/>
              </w:rPr>
            </w:pPr>
            <w:r w:rsidRPr="0034426B">
              <w:rPr>
                <w:b/>
                <w:bCs/>
                <w:sz w:val="20"/>
                <w:szCs w:val="20"/>
              </w:rPr>
              <w:t>Dollars</w:t>
            </w:r>
          </w:p>
        </w:tc>
        <w:tc>
          <w:tcPr>
            <w:tcW w:w="1260" w:type="dxa"/>
            <w:shd w:val="clear" w:color="auto" w:fill="0098AA"/>
            <w:vAlign w:val="center"/>
          </w:tcPr>
          <w:p w14:paraId="5F450B2E" w14:textId="77777777" w:rsidR="00535BDC" w:rsidRPr="00535BDC" w:rsidRDefault="00535BDC" w:rsidP="00D23596">
            <w:pPr>
              <w:jc w:val="center"/>
              <w:rPr>
                <w:b/>
                <w:bCs/>
                <w:color w:val="0098AA"/>
                <w:sz w:val="8"/>
                <w:szCs w:val="8"/>
              </w:rPr>
            </w:pPr>
            <w:r w:rsidRPr="00535BDC">
              <w:rPr>
                <w:b/>
                <w:bCs/>
                <w:color w:val="0098AA"/>
                <w:sz w:val="8"/>
                <w:szCs w:val="8"/>
              </w:rPr>
              <w:t>Inherent Risk Scoring</w:t>
            </w:r>
            <w:r>
              <w:rPr>
                <w:b/>
                <w:bCs/>
                <w:color w:val="0098AA"/>
                <w:sz w:val="8"/>
                <w:szCs w:val="8"/>
              </w:rPr>
              <w:t>:</w:t>
            </w:r>
          </w:p>
          <w:p w14:paraId="76CADA2B" w14:textId="77777777" w:rsidR="00535BDC" w:rsidRPr="004C51AC" w:rsidRDefault="00535BDC" w:rsidP="00D23596">
            <w:pPr>
              <w:jc w:val="center"/>
              <w:rPr>
                <w:b/>
                <w:bCs/>
                <w:color w:val="FFFFFF" w:themeColor="background1"/>
                <w:sz w:val="20"/>
                <w:szCs w:val="20"/>
              </w:rPr>
            </w:pPr>
            <w:r w:rsidRPr="0034426B">
              <w:rPr>
                <w:b/>
                <w:bCs/>
                <w:sz w:val="20"/>
                <w:szCs w:val="20"/>
              </w:rPr>
              <w:t>Overall</w:t>
            </w:r>
          </w:p>
        </w:tc>
        <w:tc>
          <w:tcPr>
            <w:tcW w:w="1260" w:type="dxa"/>
            <w:shd w:val="clear" w:color="auto" w:fill="0098AA"/>
            <w:vAlign w:val="center"/>
          </w:tcPr>
          <w:p w14:paraId="5F20AA7E" w14:textId="77777777" w:rsidR="00535BDC" w:rsidRPr="00581FB7" w:rsidRDefault="00535BDC" w:rsidP="00D23596">
            <w:pPr>
              <w:jc w:val="center"/>
              <w:rPr>
                <w:b/>
                <w:bCs/>
                <w:sz w:val="20"/>
                <w:szCs w:val="20"/>
              </w:rPr>
            </w:pPr>
            <w:r w:rsidRPr="00535BDC">
              <w:rPr>
                <w:b/>
                <w:bCs/>
                <w:color w:val="0098AA"/>
                <w:sz w:val="8"/>
                <w:szCs w:val="8"/>
              </w:rPr>
              <w:t>Risk Tolerance</w:t>
            </w:r>
          </w:p>
        </w:tc>
      </w:tr>
      <w:tr w:rsidR="00535BDC" w:rsidRPr="0031691E" w14:paraId="0489AD21" w14:textId="77777777" w:rsidTr="00FA3F34">
        <w:tc>
          <w:tcPr>
            <w:tcW w:w="554" w:type="dxa"/>
            <w:shd w:val="clear" w:color="auto" w:fill="auto"/>
            <w:vAlign w:val="center"/>
          </w:tcPr>
          <w:p w14:paraId="4F4FC4CF" w14:textId="77777777" w:rsidR="00535BDC" w:rsidRDefault="00535BDC" w:rsidP="00535BDC">
            <w:pPr>
              <w:jc w:val="center"/>
              <w:rPr>
                <w:sz w:val="20"/>
                <w:szCs w:val="20"/>
              </w:rPr>
            </w:pPr>
            <w:bookmarkStart w:id="2" w:name="_Hlk61030727"/>
            <w:r>
              <w:rPr>
                <w:sz w:val="20"/>
                <w:szCs w:val="20"/>
              </w:rPr>
              <w:t>1</w:t>
            </w:r>
          </w:p>
        </w:tc>
        <w:tc>
          <w:tcPr>
            <w:tcW w:w="3941" w:type="dxa"/>
            <w:shd w:val="clear" w:color="auto" w:fill="auto"/>
          </w:tcPr>
          <w:p w14:paraId="423E28C5" w14:textId="4957FFC8" w:rsidR="00535BDC" w:rsidRDefault="00535BDC" w:rsidP="00437EC6">
            <w:pPr>
              <w:rPr>
                <w:sz w:val="20"/>
                <w:szCs w:val="20"/>
              </w:rPr>
            </w:pPr>
            <w:r w:rsidRPr="006E74FF">
              <w:rPr>
                <w:b/>
                <w:bCs/>
              </w:rPr>
              <w:t>EXAMPLE</w:t>
            </w:r>
            <w:r>
              <w:rPr>
                <w:b/>
                <w:bCs/>
              </w:rPr>
              <w:t xml:space="preserve">: </w:t>
            </w:r>
            <w:r w:rsidRPr="005726F0">
              <w:rPr>
                <w:sz w:val="20"/>
                <w:szCs w:val="20"/>
              </w:rPr>
              <w:t>Ineligible individuals remain enrolled in coverage after the permissible period</w:t>
            </w:r>
            <w:r w:rsidR="00C44FBA">
              <w:rPr>
                <w:sz w:val="20"/>
                <w:szCs w:val="20"/>
              </w:rPr>
              <w:t xml:space="preserve"> (</w:t>
            </w:r>
            <w:r w:rsidR="00A57BF1">
              <w:rPr>
                <w:sz w:val="20"/>
                <w:szCs w:val="20"/>
              </w:rPr>
              <w:t xml:space="preserve">i.e., </w:t>
            </w:r>
            <w:r w:rsidR="006F46B3">
              <w:rPr>
                <w:sz w:val="20"/>
                <w:szCs w:val="20"/>
              </w:rPr>
              <w:t>through the end of the unwinding period after the PHE ends)</w:t>
            </w:r>
            <w:r w:rsidRPr="005726F0">
              <w:rPr>
                <w:sz w:val="20"/>
                <w:szCs w:val="20"/>
              </w:rPr>
              <w:t xml:space="preserve"> given the volume of cases to process and limited time to do so</w:t>
            </w:r>
            <w:r>
              <w:rPr>
                <w:sz w:val="20"/>
                <w:szCs w:val="20"/>
              </w:rPr>
              <w:t xml:space="preserve"> </w:t>
            </w:r>
            <w:r w:rsidRPr="00C01073">
              <w:rPr>
                <w:sz w:val="20"/>
                <w:szCs w:val="20"/>
              </w:rPr>
              <w:t>(1)</w:t>
            </w:r>
            <w:r w:rsidRPr="005726F0">
              <w:rPr>
                <w:sz w:val="20"/>
                <w:szCs w:val="20"/>
              </w:rPr>
              <w:t>.</w:t>
            </w:r>
          </w:p>
        </w:tc>
        <w:tc>
          <w:tcPr>
            <w:tcW w:w="3510" w:type="dxa"/>
            <w:shd w:val="clear" w:color="auto" w:fill="auto"/>
          </w:tcPr>
          <w:p w14:paraId="65AEE9CD" w14:textId="77777777" w:rsidR="00535BDC" w:rsidRPr="00BB4612" w:rsidRDefault="00535BDC" w:rsidP="00535BDC">
            <w:pPr>
              <w:rPr>
                <w:sz w:val="20"/>
                <w:szCs w:val="20"/>
              </w:rPr>
            </w:pPr>
            <w:r w:rsidRPr="006E74FF">
              <w:rPr>
                <w:b/>
                <w:bCs/>
              </w:rPr>
              <w:t>EXAMPLE</w:t>
            </w:r>
            <w:r>
              <w:rPr>
                <w:b/>
                <w:bCs/>
              </w:rPr>
              <w:t>:</w:t>
            </w:r>
          </w:p>
          <w:p w14:paraId="024C4E52" w14:textId="77777777" w:rsidR="00535BDC" w:rsidRDefault="00535BDC" w:rsidP="00535BDC">
            <w:pPr>
              <w:pStyle w:val="ListParagraph"/>
              <w:numPr>
                <w:ilvl w:val="0"/>
                <w:numId w:val="8"/>
              </w:numPr>
              <w:ind w:left="430"/>
              <w:rPr>
                <w:sz w:val="20"/>
                <w:szCs w:val="20"/>
              </w:rPr>
            </w:pPr>
            <w:r w:rsidRPr="00187FF1">
              <w:rPr>
                <w:sz w:val="20"/>
                <w:szCs w:val="20"/>
              </w:rPr>
              <w:t>Improper continued enrollment</w:t>
            </w:r>
            <w:r>
              <w:rPr>
                <w:sz w:val="20"/>
                <w:szCs w:val="20"/>
              </w:rPr>
              <w:t>, if state does not appropriately or timely redetermine eligibility based on identified changes based on change of circumstances or renewal</w:t>
            </w:r>
          </w:p>
          <w:p w14:paraId="44654208" w14:textId="77777777" w:rsidR="00535BDC" w:rsidRDefault="00535BDC" w:rsidP="00535BDC">
            <w:pPr>
              <w:pStyle w:val="ListParagraph"/>
              <w:numPr>
                <w:ilvl w:val="0"/>
                <w:numId w:val="8"/>
              </w:numPr>
              <w:ind w:left="430"/>
              <w:rPr>
                <w:sz w:val="20"/>
                <w:szCs w:val="20"/>
              </w:rPr>
            </w:pPr>
            <w:r>
              <w:rPr>
                <w:sz w:val="20"/>
                <w:szCs w:val="20"/>
              </w:rPr>
              <w:t>Potential adverse audit finding</w:t>
            </w:r>
          </w:p>
        </w:tc>
        <w:tc>
          <w:tcPr>
            <w:tcW w:w="1170" w:type="dxa"/>
            <w:shd w:val="clear" w:color="auto" w:fill="auto"/>
          </w:tcPr>
          <w:p w14:paraId="7BA3071E" w14:textId="77777777" w:rsidR="00535BDC" w:rsidRDefault="00535BDC" w:rsidP="00535BDC">
            <w:pPr>
              <w:jc w:val="center"/>
              <w:rPr>
                <w:sz w:val="20"/>
                <w:szCs w:val="20"/>
              </w:rPr>
            </w:pPr>
            <w:r>
              <w:rPr>
                <w:sz w:val="20"/>
                <w:szCs w:val="20"/>
              </w:rPr>
              <w:t>Medium</w:t>
            </w:r>
          </w:p>
        </w:tc>
        <w:tc>
          <w:tcPr>
            <w:tcW w:w="1170" w:type="dxa"/>
            <w:shd w:val="clear" w:color="auto" w:fill="auto"/>
          </w:tcPr>
          <w:p w14:paraId="3855156A" w14:textId="77777777" w:rsidR="00535BDC" w:rsidRDefault="00535BDC" w:rsidP="00535BDC">
            <w:pPr>
              <w:jc w:val="center"/>
              <w:rPr>
                <w:sz w:val="20"/>
                <w:szCs w:val="20"/>
              </w:rPr>
            </w:pPr>
            <w:r>
              <w:rPr>
                <w:sz w:val="20"/>
                <w:szCs w:val="20"/>
              </w:rPr>
              <w:t>Low</w:t>
            </w:r>
          </w:p>
        </w:tc>
        <w:tc>
          <w:tcPr>
            <w:tcW w:w="1260" w:type="dxa"/>
            <w:shd w:val="clear" w:color="auto" w:fill="auto"/>
          </w:tcPr>
          <w:p w14:paraId="332365BD" w14:textId="77777777" w:rsidR="00535BDC" w:rsidRDefault="00535BDC" w:rsidP="00535BDC">
            <w:pPr>
              <w:jc w:val="center"/>
              <w:rPr>
                <w:sz w:val="20"/>
                <w:szCs w:val="20"/>
              </w:rPr>
            </w:pPr>
            <w:r>
              <w:rPr>
                <w:sz w:val="20"/>
                <w:szCs w:val="20"/>
              </w:rPr>
              <w:t>Medium</w:t>
            </w:r>
          </w:p>
        </w:tc>
        <w:tc>
          <w:tcPr>
            <w:tcW w:w="1260" w:type="dxa"/>
            <w:shd w:val="clear" w:color="auto" w:fill="auto"/>
          </w:tcPr>
          <w:p w14:paraId="7002E284" w14:textId="77777777" w:rsidR="00535BDC" w:rsidRDefault="00535BDC" w:rsidP="00535BDC">
            <w:pPr>
              <w:jc w:val="center"/>
              <w:rPr>
                <w:sz w:val="20"/>
                <w:szCs w:val="20"/>
              </w:rPr>
            </w:pPr>
            <w:r>
              <w:rPr>
                <w:sz w:val="20"/>
                <w:szCs w:val="20"/>
              </w:rPr>
              <w:t>Medium</w:t>
            </w:r>
          </w:p>
        </w:tc>
        <w:tc>
          <w:tcPr>
            <w:tcW w:w="1260" w:type="dxa"/>
            <w:shd w:val="clear" w:color="auto" w:fill="auto"/>
          </w:tcPr>
          <w:p w14:paraId="39B8E082" w14:textId="77777777" w:rsidR="00535BDC" w:rsidRDefault="00535BDC" w:rsidP="00535BDC">
            <w:pPr>
              <w:jc w:val="center"/>
              <w:rPr>
                <w:sz w:val="20"/>
                <w:szCs w:val="20"/>
              </w:rPr>
            </w:pPr>
            <w:r>
              <w:rPr>
                <w:sz w:val="20"/>
                <w:szCs w:val="20"/>
              </w:rPr>
              <w:t>Low</w:t>
            </w:r>
          </w:p>
        </w:tc>
      </w:tr>
      <w:tr w:rsidR="00535BDC" w:rsidRPr="0031691E" w14:paraId="2D562B96" w14:textId="77777777" w:rsidTr="00FA3F34">
        <w:tc>
          <w:tcPr>
            <w:tcW w:w="554" w:type="dxa"/>
            <w:shd w:val="clear" w:color="auto" w:fill="auto"/>
            <w:vAlign w:val="center"/>
          </w:tcPr>
          <w:p w14:paraId="30C36C8F" w14:textId="77777777" w:rsidR="00535BDC" w:rsidRDefault="00535BDC" w:rsidP="00535BDC">
            <w:pPr>
              <w:jc w:val="center"/>
              <w:rPr>
                <w:sz w:val="20"/>
                <w:szCs w:val="20"/>
              </w:rPr>
            </w:pPr>
            <w:r>
              <w:rPr>
                <w:sz w:val="20"/>
                <w:szCs w:val="20"/>
              </w:rPr>
              <w:t>2</w:t>
            </w:r>
          </w:p>
        </w:tc>
        <w:tc>
          <w:tcPr>
            <w:tcW w:w="3941" w:type="dxa"/>
            <w:shd w:val="clear" w:color="auto" w:fill="auto"/>
          </w:tcPr>
          <w:p w14:paraId="54286BCF" w14:textId="77777777" w:rsidR="00535BDC" w:rsidRDefault="00535BDC" w:rsidP="00535BDC">
            <w:pPr>
              <w:rPr>
                <w:sz w:val="20"/>
                <w:szCs w:val="20"/>
              </w:rPr>
            </w:pPr>
          </w:p>
        </w:tc>
        <w:tc>
          <w:tcPr>
            <w:tcW w:w="3510" w:type="dxa"/>
            <w:shd w:val="clear" w:color="auto" w:fill="auto"/>
          </w:tcPr>
          <w:p w14:paraId="2DBCD771" w14:textId="77777777" w:rsidR="00535BDC" w:rsidRDefault="00535BDC" w:rsidP="00535BDC">
            <w:pPr>
              <w:rPr>
                <w:sz w:val="20"/>
                <w:szCs w:val="20"/>
              </w:rPr>
            </w:pPr>
          </w:p>
        </w:tc>
        <w:tc>
          <w:tcPr>
            <w:tcW w:w="1170" w:type="dxa"/>
            <w:shd w:val="clear" w:color="auto" w:fill="auto"/>
          </w:tcPr>
          <w:p w14:paraId="40A1CB77" w14:textId="77777777" w:rsidR="00535BDC" w:rsidRDefault="00535BDC" w:rsidP="00535BDC">
            <w:pPr>
              <w:rPr>
                <w:sz w:val="20"/>
                <w:szCs w:val="20"/>
              </w:rPr>
            </w:pPr>
          </w:p>
        </w:tc>
        <w:tc>
          <w:tcPr>
            <w:tcW w:w="1170" w:type="dxa"/>
            <w:shd w:val="clear" w:color="auto" w:fill="auto"/>
          </w:tcPr>
          <w:p w14:paraId="1A075DAA" w14:textId="77777777" w:rsidR="00535BDC" w:rsidRDefault="00535BDC" w:rsidP="00535BDC">
            <w:pPr>
              <w:rPr>
                <w:sz w:val="20"/>
                <w:szCs w:val="20"/>
              </w:rPr>
            </w:pPr>
          </w:p>
        </w:tc>
        <w:tc>
          <w:tcPr>
            <w:tcW w:w="1260" w:type="dxa"/>
            <w:shd w:val="clear" w:color="auto" w:fill="auto"/>
          </w:tcPr>
          <w:p w14:paraId="27A0F689" w14:textId="77777777" w:rsidR="00535BDC" w:rsidRDefault="00535BDC" w:rsidP="00535BDC">
            <w:pPr>
              <w:rPr>
                <w:sz w:val="20"/>
                <w:szCs w:val="20"/>
              </w:rPr>
            </w:pPr>
          </w:p>
        </w:tc>
        <w:tc>
          <w:tcPr>
            <w:tcW w:w="1260" w:type="dxa"/>
            <w:shd w:val="clear" w:color="auto" w:fill="auto"/>
          </w:tcPr>
          <w:p w14:paraId="651EACF3" w14:textId="77777777" w:rsidR="00535BDC" w:rsidRDefault="00535BDC" w:rsidP="00535BDC">
            <w:pPr>
              <w:rPr>
                <w:sz w:val="20"/>
                <w:szCs w:val="20"/>
              </w:rPr>
            </w:pPr>
          </w:p>
        </w:tc>
        <w:tc>
          <w:tcPr>
            <w:tcW w:w="1260" w:type="dxa"/>
            <w:shd w:val="clear" w:color="auto" w:fill="auto"/>
          </w:tcPr>
          <w:p w14:paraId="64DDD58B" w14:textId="77777777" w:rsidR="00535BDC" w:rsidRDefault="00535BDC" w:rsidP="00535BDC">
            <w:pPr>
              <w:jc w:val="center"/>
              <w:rPr>
                <w:sz w:val="20"/>
                <w:szCs w:val="20"/>
              </w:rPr>
            </w:pPr>
          </w:p>
        </w:tc>
      </w:tr>
      <w:tr w:rsidR="00535BDC" w:rsidRPr="0031691E" w14:paraId="57281B2C" w14:textId="77777777" w:rsidTr="00FA3F34">
        <w:tc>
          <w:tcPr>
            <w:tcW w:w="554" w:type="dxa"/>
            <w:shd w:val="clear" w:color="auto" w:fill="auto"/>
            <w:vAlign w:val="center"/>
          </w:tcPr>
          <w:p w14:paraId="5DD2D728" w14:textId="77777777" w:rsidR="00535BDC" w:rsidRDefault="00535BDC" w:rsidP="00535BDC">
            <w:pPr>
              <w:jc w:val="center"/>
              <w:rPr>
                <w:sz w:val="20"/>
                <w:szCs w:val="20"/>
              </w:rPr>
            </w:pPr>
            <w:r>
              <w:rPr>
                <w:sz w:val="20"/>
                <w:szCs w:val="20"/>
              </w:rPr>
              <w:t>3</w:t>
            </w:r>
          </w:p>
        </w:tc>
        <w:tc>
          <w:tcPr>
            <w:tcW w:w="3941" w:type="dxa"/>
            <w:shd w:val="clear" w:color="auto" w:fill="auto"/>
          </w:tcPr>
          <w:p w14:paraId="7C95062D" w14:textId="77777777" w:rsidR="00535BDC" w:rsidRDefault="00535BDC" w:rsidP="00535BDC">
            <w:pPr>
              <w:rPr>
                <w:sz w:val="20"/>
                <w:szCs w:val="20"/>
              </w:rPr>
            </w:pPr>
          </w:p>
        </w:tc>
        <w:tc>
          <w:tcPr>
            <w:tcW w:w="3510" w:type="dxa"/>
            <w:shd w:val="clear" w:color="auto" w:fill="auto"/>
          </w:tcPr>
          <w:p w14:paraId="7C1AD4B8" w14:textId="77777777" w:rsidR="00535BDC" w:rsidRDefault="00535BDC" w:rsidP="00535BDC">
            <w:pPr>
              <w:rPr>
                <w:sz w:val="20"/>
                <w:szCs w:val="20"/>
              </w:rPr>
            </w:pPr>
          </w:p>
        </w:tc>
        <w:tc>
          <w:tcPr>
            <w:tcW w:w="1170" w:type="dxa"/>
            <w:shd w:val="clear" w:color="auto" w:fill="auto"/>
          </w:tcPr>
          <w:p w14:paraId="2C5F9819" w14:textId="77777777" w:rsidR="00535BDC" w:rsidRDefault="00535BDC" w:rsidP="00535BDC">
            <w:pPr>
              <w:rPr>
                <w:sz w:val="20"/>
                <w:szCs w:val="20"/>
              </w:rPr>
            </w:pPr>
          </w:p>
        </w:tc>
        <w:tc>
          <w:tcPr>
            <w:tcW w:w="1170" w:type="dxa"/>
            <w:shd w:val="clear" w:color="auto" w:fill="auto"/>
          </w:tcPr>
          <w:p w14:paraId="6A5AB74B" w14:textId="77777777" w:rsidR="00535BDC" w:rsidRDefault="00535BDC" w:rsidP="00535BDC">
            <w:pPr>
              <w:rPr>
                <w:sz w:val="20"/>
                <w:szCs w:val="20"/>
              </w:rPr>
            </w:pPr>
          </w:p>
        </w:tc>
        <w:tc>
          <w:tcPr>
            <w:tcW w:w="1260" w:type="dxa"/>
            <w:shd w:val="clear" w:color="auto" w:fill="auto"/>
          </w:tcPr>
          <w:p w14:paraId="3536ABA3" w14:textId="77777777" w:rsidR="00535BDC" w:rsidRDefault="00535BDC" w:rsidP="00535BDC">
            <w:pPr>
              <w:rPr>
                <w:sz w:val="20"/>
                <w:szCs w:val="20"/>
              </w:rPr>
            </w:pPr>
          </w:p>
        </w:tc>
        <w:tc>
          <w:tcPr>
            <w:tcW w:w="1260" w:type="dxa"/>
            <w:shd w:val="clear" w:color="auto" w:fill="auto"/>
          </w:tcPr>
          <w:p w14:paraId="0D635B91" w14:textId="77777777" w:rsidR="00535BDC" w:rsidRDefault="00535BDC" w:rsidP="00535BDC">
            <w:pPr>
              <w:rPr>
                <w:sz w:val="20"/>
                <w:szCs w:val="20"/>
              </w:rPr>
            </w:pPr>
          </w:p>
        </w:tc>
        <w:tc>
          <w:tcPr>
            <w:tcW w:w="1260" w:type="dxa"/>
            <w:shd w:val="clear" w:color="auto" w:fill="auto"/>
          </w:tcPr>
          <w:p w14:paraId="37BC8ADD" w14:textId="77777777" w:rsidR="00535BDC" w:rsidRDefault="00535BDC" w:rsidP="00535BDC">
            <w:pPr>
              <w:jc w:val="center"/>
              <w:rPr>
                <w:sz w:val="20"/>
                <w:szCs w:val="20"/>
              </w:rPr>
            </w:pPr>
          </w:p>
        </w:tc>
      </w:tr>
      <w:bookmarkEnd w:id="2"/>
    </w:tbl>
    <w:p w14:paraId="38A74D7D" w14:textId="77777777" w:rsidR="00837858" w:rsidRDefault="00837858" w:rsidP="00F34D93">
      <w:r>
        <w:br w:type="page"/>
      </w:r>
    </w:p>
    <w:p w14:paraId="05547A79" w14:textId="77777777" w:rsidR="00F34D93" w:rsidRDefault="00F34D93" w:rsidP="007366FC">
      <w:pPr>
        <w:outlineLvl w:val="1"/>
        <w:rPr>
          <w:b/>
          <w:bCs/>
        </w:rPr>
      </w:pPr>
      <w:r w:rsidRPr="00C97CFD">
        <w:rPr>
          <w:b/>
          <w:bCs/>
        </w:rPr>
        <w:t xml:space="preserve">Step </w:t>
      </w:r>
      <w:r w:rsidR="00F37ACE">
        <w:rPr>
          <w:b/>
          <w:bCs/>
        </w:rPr>
        <w:t>5</w:t>
      </w:r>
      <w:r w:rsidRPr="00C97CFD">
        <w:rPr>
          <w:b/>
          <w:bCs/>
        </w:rPr>
        <w:t>:</w:t>
      </w:r>
      <w:r>
        <w:t xml:space="preserve"> </w:t>
      </w:r>
      <w:r w:rsidRPr="001B242A">
        <w:rPr>
          <w:b/>
          <w:bCs/>
        </w:rPr>
        <w:t>Examine suitability of current controls and prioritize remaining risks</w:t>
      </w:r>
    </w:p>
    <w:p w14:paraId="14EB2111" w14:textId="77777777" w:rsidR="00F34D93" w:rsidRDefault="00F34D93">
      <w:r>
        <w:t xml:space="preserve">After all potential inherent risks have been identified, the next step is to analyze these risks and determine a potential response. </w:t>
      </w:r>
      <w:r w:rsidR="00162970">
        <w:t xml:space="preserve"> </w:t>
      </w:r>
      <w:r>
        <w:t>This involves the following two sub-steps:</w:t>
      </w:r>
    </w:p>
    <w:p w14:paraId="1B6049FE" w14:textId="77777777" w:rsidR="00F34D93" w:rsidRDefault="00F37ACE" w:rsidP="00DE23C7">
      <w:pPr>
        <w:ind w:firstLine="720"/>
        <w:rPr>
          <w:b/>
          <w:bCs/>
        </w:rPr>
      </w:pPr>
      <w:r>
        <w:rPr>
          <w:b/>
          <w:bCs/>
        </w:rPr>
        <w:t>5</w:t>
      </w:r>
      <w:r w:rsidR="00F34D93" w:rsidRPr="009C13AB">
        <w:rPr>
          <w:b/>
          <w:bCs/>
        </w:rPr>
        <w:t>.1 Compare inherent risks to existing controls to determine remaining (e.</w:t>
      </w:r>
      <w:r w:rsidR="00FD4860">
        <w:rPr>
          <w:b/>
          <w:bCs/>
        </w:rPr>
        <w:t>g.</w:t>
      </w:r>
      <w:r w:rsidR="00F34D93" w:rsidRPr="009C13AB">
        <w:rPr>
          <w:b/>
          <w:bCs/>
        </w:rPr>
        <w:t>, residual) risks</w:t>
      </w:r>
      <w:r w:rsidR="00F34D93">
        <w:rPr>
          <w:b/>
          <w:bCs/>
        </w:rPr>
        <w:t xml:space="preserve"> and </w:t>
      </w:r>
      <w:r w:rsidR="008E564D">
        <w:rPr>
          <w:b/>
          <w:bCs/>
        </w:rPr>
        <w:t>how to prioritize</w:t>
      </w:r>
    </w:p>
    <w:p w14:paraId="58034D52" w14:textId="77777777" w:rsidR="00EC110D" w:rsidRDefault="00F34D93" w:rsidP="00AC0014">
      <w:r>
        <w:t>This step focuses on connecting existing risk management activities and controls to identified risks</w:t>
      </w:r>
      <w:r w:rsidR="0035137D">
        <w:t xml:space="preserve"> so that the state can determine</w:t>
      </w:r>
      <w:r>
        <w:t xml:space="preserve"> the likelihood and impact of the</w:t>
      </w:r>
      <w:r w:rsidR="00B43449">
        <w:t xml:space="preserve"> remaining</w:t>
      </w:r>
      <w:r>
        <w:t xml:space="preserve"> risks on the program.</w:t>
      </w:r>
      <w:r w:rsidR="00400939">
        <w:t xml:space="preserve"> </w:t>
      </w:r>
      <w:r w:rsidR="00EC110D">
        <w:t xml:space="preserve"> </w:t>
      </w:r>
      <w:r>
        <w:t>This step can be completed in two stages: first, determine what risk control activities</w:t>
      </w:r>
      <w:r w:rsidR="00B43449">
        <w:t xml:space="preserve"> (e.</w:t>
      </w:r>
      <w:r w:rsidR="00EC110D">
        <w:t>g.,</w:t>
      </w:r>
      <w:r w:rsidR="00B43449">
        <w:t xml:space="preserve"> “</w:t>
      </w:r>
      <w:r w:rsidR="0030520A">
        <w:t>e</w:t>
      </w:r>
      <w:r w:rsidR="00B43449">
        <w:t xml:space="preserve">xisting </w:t>
      </w:r>
      <w:r w:rsidR="0030520A">
        <w:t>c</w:t>
      </w:r>
      <w:r w:rsidR="00B43449">
        <w:t>ontrols”)</w:t>
      </w:r>
      <w:r w:rsidR="00484C91">
        <w:t>,</w:t>
      </w:r>
      <w:r>
        <w:t xml:space="preserve"> </w:t>
      </w:r>
      <w:r w:rsidR="00484C91">
        <w:t xml:space="preserve">if any, </w:t>
      </w:r>
      <w:r>
        <w:t xml:space="preserve">are currently in place </w:t>
      </w:r>
      <w:r w:rsidR="00484C91">
        <w:t xml:space="preserve">that in some way mitigate </w:t>
      </w:r>
      <w:r>
        <w:t xml:space="preserve">each inherent risk; second, assess </w:t>
      </w:r>
      <w:r w:rsidR="0035137D">
        <w:t xml:space="preserve">how successfully the existing controls are </w:t>
      </w:r>
      <w:r w:rsidR="0030520A">
        <w:t>working</w:t>
      </w:r>
      <w:r w:rsidR="0035137D">
        <w:t xml:space="preserve">: </w:t>
      </w:r>
      <w:r w:rsidR="00EC110D">
        <w:t xml:space="preserve"> </w:t>
      </w:r>
      <w:r w:rsidR="0035137D">
        <w:t xml:space="preserve">that is, how much </w:t>
      </w:r>
      <w:r w:rsidR="007C58DC">
        <w:t xml:space="preserve">inherent </w:t>
      </w:r>
      <w:r w:rsidR="0035137D">
        <w:t xml:space="preserve">risk remains </w:t>
      </w:r>
      <w:r w:rsidR="00843B45">
        <w:t xml:space="preserve">despite </w:t>
      </w:r>
      <w:r w:rsidR="0035137D">
        <w:t xml:space="preserve">the </w:t>
      </w:r>
      <w:r>
        <w:t>existing controls</w:t>
      </w:r>
      <w:r w:rsidR="0035137D">
        <w:t xml:space="preserve">. </w:t>
      </w:r>
      <w:r w:rsidR="00EC110D">
        <w:t xml:space="preserve"> </w:t>
      </w:r>
      <w:r w:rsidR="0035137D">
        <w:t>The state then</w:t>
      </w:r>
      <w:r w:rsidR="00083602">
        <w:t xml:space="preserve"> assign</w:t>
      </w:r>
      <w:r w:rsidR="0030520A">
        <w:t>s</w:t>
      </w:r>
      <w:r w:rsidR="00083602">
        <w:t xml:space="preserve"> a residual risk level score</w:t>
      </w:r>
      <w:r w:rsidR="0030520A">
        <w:t xml:space="preserve"> based on this assessment</w:t>
      </w:r>
      <w:r>
        <w:t>.</w:t>
      </w:r>
      <w:r w:rsidR="00484C91">
        <w:rPr>
          <w:rStyle w:val="FootnoteReference"/>
        </w:rPr>
        <w:footnoteReference w:id="8"/>
      </w:r>
      <w:r>
        <w:t xml:space="preserve">  Based on this analysis, </w:t>
      </w:r>
      <w:r w:rsidR="00EA0852">
        <w:t xml:space="preserve">the state </w:t>
      </w:r>
      <w:r>
        <w:t xml:space="preserve">then </w:t>
      </w:r>
      <w:r w:rsidR="005E23AF">
        <w:t>determine</w:t>
      </w:r>
      <w:r w:rsidR="0035137D">
        <w:t>s</w:t>
      </w:r>
      <w:r w:rsidR="005E23AF">
        <w:t xml:space="preserve"> </w:t>
      </w:r>
      <w:r w:rsidR="00BB4612">
        <w:t>how to prioritize</w:t>
      </w:r>
      <w:r w:rsidR="005E23AF">
        <w:t xml:space="preserve"> each risk</w:t>
      </w:r>
      <w:r>
        <w:t xml:space="preserve">. </w:t>
      </w:r>
      <w:r w:rsidR="00EC110D">
        <w:t xml:space="preserve"> </w:t>
      </w:r>
    </w:p>
    <w:p w14:paraId="11BA1789" w14:textId="03839347" w:rsidR="00F34D93" w:rsidRDefault="005E23AF" w:rsidP="00AC0014">
      <w:r w:rsidRPr="00AC0014">
        <w:rPr>
          <w:u w:val="single"/>
        </w:rPr>
        <w:t>Note</w:t>
      </w:r>
      <w:r w:rsidR="00EC110D">
        <w:t>:</w:t>
      </w:r>
      <w:r>
        <w:t xml:space="preserve"> </w:t>
      </w:r>
      <w:r w:rsidR="00EC110D">
        <w:t xml:space="preserve"> R</w:t>
      </w:r>
      <w:r>
        <w:t xml:space="preserve">isk prioritization can be determined using a defined quantitative </w:t>
      </w:r>
      <w:r w:rsidR="00BB4612">
        <w:t>method</w:t>
      </w:r>
      <w:r>
        <w:t xml:space="preserve"> (e.g., ranking</w:t>
      </w:r>
      <w:r w:rsidR="0035137D">
        <w:t xml:space="preserve">, or </w:t>
      </w:r>
      <w:r w:rsidR="00484C91">
        <w:t>assigning a high/medium/low score</w:t>
      </w:r>
      <w:r>
        <w:t xml:space="preserve">) or by simply noting whether one or more risks are prioritized or not. </w:t>
      </w:r>
    </w:p>
    <w:p w14:paraId="69B5BF8A" w14:textId="6116750B" w:rsidR="00DE3DE7" w:rsidRDefault="00DE3DE7" w:rsidP="00AC0014">
      <w:r>
        <w:rPr>
          <w:b/>
          <w:bCs/>
          <w:sz w:val="20"/>
          <w:szCs w:val="20"/>
        </w:rPr>
        <w:t>Table 5. Examine Existing Controls and Determine/Prioritize Residual Risks</w:t>
      </w:r>
    </w:p>
    <w:tbl>
      <w:tblPr>
        <w:tblStyle w:val="TableGrid"/>
        <w:tblW w:w="14485" w:type="dxa"/>
        <w:jc w:val="center"/>
        <w:tblLook w:val="04A0" w:firstRow="1" w:lastRow="0" w:firstColumn="1" w:lastColumn="0" w:noHBand="0" w:noVBand="1"/>
        <w:tblCaption w:val="Table 5. Examine Existing Controls and Determine/Prioritize Residual Risks"/>
      </w:tblPr>
      <w:tblGrid>
        <w:gridCol w:w="570"/>
        <w:gridCol w:w="3925"/>
        <w:gridCol w:w="1080"/>
        <w:gridCol w:w="1080"/>
        <w:gridCol w:w="5220"/>
        <w:gridCol w:w="1170"/>
        <w:gridCol w:w="1440"/>
      </w:tblGrid>
      <w:tr w:rsidR="007A04E2" w:rsidRPr="009C13AB" w14:paraId="781A3773" w14:textId="77777777" w:rsidTr="00D23596">
        <w:trPr>
          <w:jc w:val="center"/>
        </w:trPr>
        <w:tc>
          <w:tcPr>
            <w:tcW w:w="570" w:type="dxa"/>
            <w:shd w:val="clear" w:color="auto" w:fill="223767"/>
            <w:vAlign w:val="center"/>
          </w:tcPr>
          <w:p w14:paraId="599B44F5" w14:textId="77777777" w:rsidR="00A1742C" w:rsidRPr="009C13AB" w:rsidRDefault="00A1742C" w:rsidP="00D23596">
            <w:pPr>
              <w:jc w:val="center"/>
              <w:rPr>
                <w:b/>
                <w:bCs/>
                <w:sz w:val="20"/>
                <w:szCs w:val="20"/>
              </w:rPr>
            </w:pPr>
            <w:r w:rsidRPr="009C13AB">
              <w:rPr>
                <w:b/>
                <w:bCs/>
                <w:sz w:val="20"/>
                <w:szCs w:val="20"/>
              </w:rPr>
              <w:t>Risk #</w:t>
            </w:r>
          </w:p>
        </w:tc>
        <w:tc>
          <w:tcPr>
            <w:tcW w:w="3925" w:type="dxa"/>
            <w:shd w:val="clear" w:color="auto" w:fill="223767"/>
            <w:vAlign w:val="center"/>
          </w:tcPr>
          <w:p w14:paraId="34B1400C" w14:textId="77777777" w:rsidR="00A1742C" w:rsidRPr="009C13AB" w:rsidRDefault="00A1742C" w:rsidP="00D23596">
            <w:pPr>
              <w:jc w:val="center"/>
              <w:rPr>
                <w:b/>
                <w:bCs/>
                <w:sz w:val="20"/>
                <w:szCs w:val="20"/>
              </w:rPr>
            </w:pPr>
            <w:r w:rsidRPr="009C13AB">
              <w:rPr>
                <w:b/>
                <w:bCs/>
                <w:sz w:val="20"/>
                <w:szCs w:val="20"/>
              </w:rPr>
              <w:t xml:space="preserve">Description of </w:t>
            </w:r>
            <w:r>
              <w:rPr>
                <w:b/>
                <w:bCs/>
                <w:sz w:val="20"/>
                <w:szCs w:val="20"/>
              </w:rPr>
              <w:t xml:space="preserve">Inherent </w:t>
            </w:r>
            <w:r w:rsidRPr="009C13AB">
              <w:rPr>
                <w:b/>
                <w:bCs/>
                <w:sz w:val="20"/>
                <w:szCs w:val="20"/>
              </w:rPr>
              <w:t>Risk</w:t>
            </w:r>
            <w:r w:rsidR="00CD517B">
              <w:rPr>
                <w:b/>
                <w:bCs/>
                <w:sz w:val="20"/>
                <w:szCs w:val="20"/>
              </w:rPr>
              <w:t xml:space="preserve"> (Associated Waiver/Flexibility</w:t>
            </w:r>
            <w:r w:rsidR="00AC0014">
              <w:rPr>
                <w:b/>
                <w:bCs/>
                <w:sz w:val="20"/>
                <w:szCs w:val="20"/>
              </w:rPr>
              <w:t>/Requirement</w:t>
            </w:r>
            <w:r w:rsidR="00CD517B">
              <w:rPr>
                <w:b/>
                <w:bCs/>
                <w:sz w:val="20"/>
                <w:szCs w:val="20"/>
              </w:rPr>
              <w:t xml:space="preserve"> Number[s])</w:t>
            </w:r>
          </w:p>
        </w:tc>
        <w:tc>
          <w:tcPr>
            <w:tcW w:w="1080" w:type="dxa"/>
            <w:shd w:val="clear" w:color="auto" w:fill="223767"/>
            <w:vAlign w:val="center"/>
          </w:tcPr>
          <w:p w14:paraId="0EF2EC6C" w14:textId="77777777" w:rsidR="00A1742C" w:rsidRPr="009C13AB" w:rsidRDefault="00A1742C" w:rsidP="00D23596">
            <w:pPr>
              <w:jc w:val="center"/>
              <w:rPr>
                <w:b/>
                <w:bCs/>
                <w:sz w:val="20"/>
                <w:szCs w:val="20"/>
              </w:rPr>
            </w:pPr>
            <w:r w:rsidRPr="009C13AB">
              <w:rPr>
                <w:b/>
                <w:bCs/>
                <w:sz w:val="20"/>
                <w:szCs w:val="20"/>
              </w:rPr>
              <w:t>Overall Score</w:t>
            </w:r>
          </w:p>
        </w:tc>
        <w:tc>
          <w:tcPr>
            <w:tcW w:w="1080" w:type="dxa"/>
            <w:shd w:val="clear" w:color="auto" w:fill="223767"/>
            <w:vAlign w:val="center"/>
          </w:tcPr>
          <w:p w14:paraId="18649978" w14:textId="77777777" w:rsidR="00A1742C" w:rsidRPr="009C13AB" w:rsidRDefault="00A1742C" w:rsidP="00D23596">
            <w:pPr>
              <w:jc w:val="center"/>
              <w:rPr>
                <w:b/>
                <w:bCs/>
                <w:sz w:val="20"/>
                <w:szCs w:val="20"/>
              </w:rPr>
            </w:pPr>
            <w:r w:rsidRPr="009C13AB">
              <w:rPr>
                <w:b/>
                <w:bCs/>
                <w:sz w:val="20"/>
                <w:szCs w:val="20"/>
              </w:rPr>
              <w:t>Risk Tolerance</w:t>
            </w:r>
          </w:p>
        </w:tc>
        <w:tc>
          <w:tcPr>
            <w:tcW w:w="5220" w:type="dxa"/>
            <w:tcBorders>
              <w:bottom w:val="single" w:sz="4" w:space="0" w:color="auto"/>
            </w:tcBorders>
            <w:shd w:val="clear" w:color="auto" w:fill="223767"/>
            <w:vAlign w:val="center"/>
          </w:tcPr>
          <w:p w14:paraId="666046D7" w14:textId="77777777" w:rsidR="00A1742C" w:rsidRPr="009C13AB" w:rsidRDefault="00A1742C" w:rsidP="00D23596">
            <w:pPr>
              <w:jc w:val="center"/>
              <w:rPr>
                <w:b/>
                <w:bCs/>
                <w:sz w:val="20"/>
                <w:szCs w:val="20"/>
              </w:rPr>
            </w:pPr>
            <w:r w:rsidRPr="009C13AB">
              <w:rPr>
                <w:b/>
                <w:bCs/>
                <w:sz w:val="20"/>
                <w:szCs w:val="20"/>
              </w:rPr>
              <w:t>Existing Controls</w:t>
            </w:r>
          </w:p>
        </w:tc>
        <w:tc>
          <w:tcPr>
            <w:tcW w:w="1170" w:type="dxa"/>
            <w:tcBorders>
              <w:bottom w:val="single" w:sz="4" w:space="0" w:color="000000" w:themeColor="text1"/>
            </w:tcBorders>
            <w:shd w:val="clear" w:color="auto" w:fill="223767"/>
            <w:vAlign w:val="center"/>
          </w:tcPr>
          <w:p w14:paraId="168A936E" w14:textId="77777777" w:rsidR="00A1742C" w:rsidRPr="009C13AB" w:rsidRDefault="00A1742C" w:rsidP="00D23596">
            <w:pPr>
              <w:jc w:val="center"/>
              <w:rPr>
                <w:b/>
                <w:bCs/>
                <w:sz w:val="20"/>
                <w:szCs w:val="20"/>
              </w:rPr>
            </w:pPr>
            <w:r w:rsidRPr="009C13AB">
              <w:rPr>
                <w:b/>
                <w:bCs/>
                <w:sz w:val="20"/>
                <w:szCs w:val="20"/>
              </w:rPr>
              <w:t>Residual Risk</w:t>
            </w:r>
            <w:r w:rsidR="00083602">
              <w:rPr>
                <w:b/>
                <w:bCs/>
                <w:sz w:val="20"/>
                <w:szCs w:val="20"/>
              </w:rPr>
              <w:t xml:space="preserve"> Level</w:t>
            </w:r>
          </w:p>
        </w:tc>
        <w:tc>
          <w:tcPr>
            <w:tcW w:w="1440" w:type="dxa"/>
            <w:tcBorders>
              <w:bottom w:val="single" w:sz="4" w:space="0" w:color="000000" w:themeColor="text1"/>
            </w:tcBorders>
            <w:shd w:val="clear" w:color="auto" w:fill="223767"/>
            <w:vAlign w:val="center"/>
          </w:tcPr>
          <w:p w14:paraId="5D4696F6" w14:textId="77777777" w:rsidR="00A1742C" w:rsidRPr="009C13AB" w:rsidRDefault="00A1742C" w:rsidP="00D23596">
            <w:pPr>
              <w:jc w:val="center"/>
              <w:rPr>
                <w:b/>
                <w:bCs/>
                <w:sz w:val="20"/>
                <w:szCs w:val="20"/>
              </w:rPr>
            </w:pPr>
            <w:r>
              <w:rPr>
                <w:b/>
                <w:bCs/>
                <w:sz w:val="20"/>
                <w:szCs w:val="20"/>
              </w:rPr>
              <w:t>Risk Prioritization</w:t>
            </w:r>
          </w:p>
        </w:tc>
      </w:tr>
      <w:tr w:rsidR="007A04E2" w:rsidRPr="009C13AB" w14:paraId="7E7C1975" w14:textId="77777777" w:rsidTr="36B04788">
        <w:trPr>
          <w:jc w:val="center"/>
        </w:trPr>
        <w:tc>
          <w:tcPr>
            <w:tcW w:w="570" w:type="dxa"/>
            <w:shd w:val="clear" w:color="auto" w:fill="auto"/>
          </w:tcPr>
          <w:p w14:paraId="20CE400C" w14:textId="77777777" w:rsidR="00A1742C" w:rsidRPr="009C13AB" w:rsidRDefault="004D2262" w:rsidP="00990EC2">
            <w:pPr>
              <w:rPr>
                <w:sz w:val="20"/>
                <w:szCs w:val="20"/>
              </w:rPr>
            </w:pPr>
            <w:r>
              <w:rPr>
                <w:sz w:val="20"/>
                <w:szCs w:val="20"/>
              </w:rPr>
              <w:t>1</w:t>
            </w:r>
          </w:p>
        </w:tc>
        <w:tc>
          <w:tcPr>
            <w:tcW w:w="3925" w:type="dxa"/>
            <w:shd w:val="clear" w:color="auto" w:fill="auto"/>
          </w:tcPr>
          <w:p w14:paraId="237BDD36" w14:textId="77777777" w:rsidR="00BB4612" w:rsidRDefault="00BB4612" w:rsidP="00990EC2">
            <w:pPr>
              <w:rPr>
                <w:sz w:val="20"/>
                <w:szCs w:val="20"/>
              </w:rPr>
            </w:pPr>
            <w:r w:rsidRPr="006E74FF">
              <w:rPr>
                <w:b/>
                <w:bCs/>
              </w:rPr>
              <w:t>EXAMPLE</w:t>
            </w:r>
            <w:r>
              <w:rPr>
                <w:b/>
                <w:bCs/>
              </w:rPr>
              <w:t>:</w:t>
            </w:r>
          </w:p>
          <w:p w14:paraId="61E213B7" w14:textId="2DD9CF57" w:rsidR="00A1742C" w:rsidRPr="009C13AB" w:rsidRDefault="00AE56D5" w:rsidP="00437EC6">
            <w:pPr>
              <w:rPr>
                <w:sz w:val="20"/>
                <w:szCs w:val="20"/>
              </w:rPr>
            </w:pPr>
            <w:r w:rsidRPr="00AE56D5">
              <w:rPr>
                <w:sz w:val="20"/>
                <w:szCs w:val="20"/>
              </w:rPr>
              <w:t>Ineligible individuals remain enrolled in coverage after the permissible period</w:t>
            </w:r>
            <w:r w:rsidR="00C44FBA">
              <w:rPr>
                <w:sz w:val="20"/>
                <w:szCs w:val="20"/>
              </w:rPr>
              <w:t xml:space="preserve"> (</w:t>
            </w:r>
            <w:r w:rsidR="00A57BF1">
              <w:rPr>
                <w:sz w:val="20"/>
                <w:szCs w:val="20"/>
              </w:rPr>
              <w:t xml:space="preserve">i.e., </w:t>
            </w:r>
            <w:r w:rsidR="006F46B3">
              <w:rPr>
                <w:sz w:val="20"/>
                <w:szCs w:val="20"/>
              </w:rPr>
              <w:t>through the end of the unwinding period after the PHE ends)</w:t>
            </w:r>
            <w:r w:rsidRPr="00AE56D5">
              <w:rPr>
                <w:sz w:val="20"/>
                <w:szCs w:val="20"/>
              </w:rPr>
              <w:t xml:space="preserve"> given the volume of cases to process and limited time to do so</w:t>
            </w:r>
            <w:r w:rsidR="00C01073">
              <w:rPr>
                <w:sz w:val="20"/>
                <w:szCs w:val="20"/>
              </w:rPr>
              <w:t xml:space="preserve"> </w:t>
            </w:r>
            <w:r w:rsidR="00C01073" w:rsidRPr="00C01073">
              <w:rPr>
                <w:sz w:val="20"/>
                <w:szCs w:val="20"/>
              </w:rPr>
              <w:t>(1).</w:t>
            </w:r>
          </w:p>
        </w:tc>
        <w:tc>
          <w:tcPr>
            <w:tcW w:w="1080" w:type="dxa"/>
            <w:shd w:val="clear" w:color="auto" w:fill="auto"/>
          </w:tcPr>
          <w:p w14:paraId="391B4F0A" w14:textId="77777777" w:rsidR="00A1742C" w:rsidRPr="009C13AB" w:rsidRDefault="004D2262" w:rsidP="004D2262">
            <w:pPr>
              <w:jc w:val="center"/>
              <w:rPr>
                <w:sz w:val="20"/>
                <w:szCs w:val="20"/>
              </w:rPr>
            </w:pPr>
            <w:r>
              <w:rPr>
                <w:sz w:val="20"/>
                <w:szCs w:val="20"/>
              </w:rPr>
              <w:t>Medium</w:t>
            </w:r>
          </w:p>
        </w:tc>
        <w:tc>
          <w:tcPr>
            <w:tcW w:w="1080" w:type="dxa"/>
            <w:shd w:val="clear" w:color="auto" w:fill="auto"/>
          </w:tcPr>
          <w:p w14:paraId="67B3FA43" w14:textId="77777777" w:rsidR="00A1742C" w:rsidRPr="009C13AB" w:rsidRDefault="004D2262" w:rsidP="004D2262">
            <w:pPr>
              <w:jc w:val="center"/>
              <w:rPr>
                <w:sz w:val="20"/>
                <w:szCs w:val="20"/>
              </w:rPr>
            </w:pPr>
            <w:r>
              <w:rPr>
                <w:sz w:val="20"/>
                <w:szCs w:val="20"/>
              </w:rPr>
              <w:t>Low</w:t>
            </w:r>
          </w:p>
        </w:tc>
        <w:tc>
          <w:tcPr>
            <w:tcW w:w="5220" w:type="dxa"/>
            <w:shd w:val="clear" w:color="auto" w:fill="auto"/>
          </w:tcPr>
          <w:p w14:paraId="7E94CF0D" w14:textId="77777777" w:rsidR="00BB4612" w:rsidRPr="00BB4612" w:rsidRDefault="00BB4612" w:rsidP="00BB4612">
            <w:pPr>
              <w:rPr>
                <w:sz w:val="20"/>
                <w:szCs w:val="20"/>
              </w:rPr>
            </w:pPr>
            <w:r w:rsidRPr="006E74FF">
              <w:rPr>
                <w:b/>
                <w:bCs/>
              </w:rPr>
              <w:t>EXAMPLE</w:t>
            </w:r>
            <w:r>
              <w:rPr>
                <w:b/>
                <w:bCs/>
              </w:rPr>
              <w:t>:</w:t>
            </w:r>
          </w:p>
          <w:p w14:paraId="2DD82973" w14:textId="77777777" w:rsidR="00AE56D5" w:rsidRPr="00EA228B" w:rsidRDefault="00AE56D5" w:rsidP="00AC7937">
            <w:pPr>
              <w:pStyle w:val="ListParagraph"/>
              <w:numPr>
                <w:ilvl w:val="0"/>
                <w:numId w:val="15"/>
              </w:numPr>
              <w:ind w:left="480"/>
              <w:rPr>
                <w:sz w:val="20"/>
                <w:szCs w:val="20"/>
              </w:rPr>
            </w:pPr>
            <w:r w:rsidRPr="008B1E23">
              <w:rPr>
                <w:sz w:val="20"/>
                <w:szCs w:val="20"/>
              </w:rPr>
              <w:t xml:space="preserve">Eligibility </w:t>
            </w:r>
            <w:r w:rsidR="001200BD">
              <w:rPr>
                <w:sz w:val="20"/>
                <w:szCs w:val="20"/>
              </w:rPr>
              <w:t xml:space="preserve">determination </w:t>
            </w:r>
            <w:r w:rsidRPr="008B1E23">
              <w:rPr>
                <w:sz w:val="20"/>
                <w:szCs w:val="20"/>
              </w:rPr>
              <w:t>offices are pulling reports to identify cases with changes reported by beneficiaries.</w:t>
            </w:r>
          </w:p>
          <w:p w14:paraId="58BAE0D7" w14:textId="77777777" w:rsidR="00AE56D5" w:rsidRDefault="00AE56D5" w:rsidP="00AC7937">
            <w:pPr>
              <w:pStyle w:val="ListParagraph"/>
              <w:numPr>
                <w:ilvl w:val="0"/>
                <w:numId w:val="15"/>
              </w:numPr>
              <w:ind w:left="480"/>
              <w:rPr>
                <w:sz w:val="20"/>
                <w:szCs w:val="20"/>
              </w:rPr>
            </w:pPr>
            <w:r w:rsidRPr="00AE56D5">
              <w:rPr>
                <w:sz w:val="20"/>
                <w:szCs w:val="20"/>
              </w:rPr>
              <w:t xml:space="preserve">Eligibility determination </w:t>
            </w:r>
            <w:r>
              <w:rPr>
                <w:sz w:val="20"/>
                <w:szCs w:val="20"/>
              </w:rPr>
              <w:t>office</w:t>
            </w:r>
            <w:r w:rsidR="001200BD">
              <w:rPr>
                <w:sz w:val="20"/>
                <w:szCs w:val="20"/>
              </w:rPr>
              <w:t>s</w:t>
            </w:r>
            <w:r>
              <w:rPr>
                <w:sz w:val="20"/>
                <w:szCs w:val="20"/>
              </w:rPr>
              <w:t xml:space="preserve"> </w:t>
            </w:r>
            <w:r w:rsidR="001200BD">
              <w:rPr>
                <w:sz w:val="20"/>
                <w:szCs w:val="20"/>
              </w:rPr>
              <w:t>are</w:t>
            </w:r>
            <w:r>
              <w:rPr>
                <w:sz w:val="20"/>
                <w:szCs w:val="20"/>
              </w:rPr>
              <w:t xml:space="preserve"> running</w:t>
            </w:r>
            <w:r w:rsidRPr="00AE56D5">
              <w:rPr>
                <w:sz w:val="20"/>
                <w:szCs w:val="20"/>
              </w:rPr>
              <w:t xml:space="preserve"> reports to identify cases with upcoming and past due renewals during the PHE.</w:t>
            </w:r>
          </w:p>
          <w:p w14:paraId="14507D90" w14:textId="77777777" w:rsidR="00AE56D5" w:rsidRDefault="00AE56D5" w:rsidP="00AC7937">
            <w:pPr>
              <w:pStyle w:val="ListParagraph"/>
              <w:numPr>
                <w:ilvl w:val="0"/>
                <w:numId w:val="15"/>
              </w:numPr>
              <w:ind w:left="480"/>
              <w:rPr>
                <w:sz w:val="20"/>
                <w:szCs w:val="20"/>
              </w:rPr>
            </w:pPr>
            <w:r w:rsidRPr="00AE56D5">
              <w:rPr>
                <w:sz w:val="20"/>
                <w:szCs w:val="20"/>
              </w:rPr>
              <w:t>State is processing all redeterminations that can be completed with available information, before the end of the PHE, to reduce the volume of work post-PHE.</w:t>
            </w:r>
          </w:p>
          <w:p w14:paraId="6EEDAE8A" w14:textId="77777777" w:rsidR="00A1742C" w:rsidRPr="00EA228B" w:rsidRDefault="00AE56D5" w:rsidP="00AC7937">
            <w:pPr>
              <w:pStyle w:val="ListParagraph"/>
              <w:numPr>
                <w:ilvl w:val="0"/>
                <w:numId w:val="15"/>
              </w:numPr>
              <w:ind w:left="480"/>
              <w:rPr>
                <w:sz w:val="20"/>
                <w:szCs w:val="20"/>
              </w:rPr>
            </w:pPr>
            <w:r w:rsidRPr="00AE56D5">
              <w:rPr>
                <w:sz w:val="20"/>
                <w:szCs w:val="20"/>
              </w:rPr>
              <w:t>State is sending request for information to renewals that cannot be confirmed with ex parte information before the end of the PHE to reduce the volume of work post-PHE.</w:t>
            </w:r>
          </w:p>
        </w:tc>
        <w:tc>
          <w:tcPr>
            <w:tcW w:w="1170" w:type="dxa"/>
            <w:shd w:val="clear" w:color="auto" w:fill="auto"/>
          </w:tcPr>
          <w:p w14:paraId="2F4DCAF0" w14:textId="77777777" w:rsidR="00A1742C" w:rsidRPr="009C13AB" w:rsidRDefault="00471F6C" w:rsidP="001D595E">
            <w:pPr>
              <w:jc w:val="center"/>
              <w:rPr>
                <w:sz w:val="20"/>
                <w:szCs w:val="20"/>
              </w:rPr>
            </w:pPr>
            <w:r>
              <w:rPr>
                <w:sz w:val="20"/>
                <w:szCs w:val="20"/>
              </w:rPr>
              <w:t>Medium</w:t>
            </w:r>
          </w:p>
        </w:tc>
        <w:tc>
          <w:tcPr>
            <w:tcW w:w="1440" w:type="dxa"/>
            <w:shd w:val="clear" w:color="auto" w:fill="auto"/>
          </w:tcPr>
          <w:p w14:paraId="566F14C1" w14:textId="77777777" w:rsidR="00A1742C" w:rsidRPr="009C13AB" w:rsidRDefault="00471F6C" w:rsidP="00090123">
            <w:pPr>
              <w:jc w:val="center"/>
              <w:rPr>
                <w:sz w:val="20"/>
                <w:szCs w:val="20"/>
              </w:rPr>
            </w:pPr>
            <w:r>
              <w:rPr>
                <w:sz w:val="20"/>
                <w:szCs w:val="20"/>
              </w:rPr>
              <w:t>High</w:t>
            </w:r>
          </w:p>
        </w:tc>
      </w:tr>
      <w:tr w:rsidR="007A04E2" w:rsidRPr="009C13AB" w14:paraId="1ADFBA2B" w14:textId="77777777" w:rsidTr="36B04788">
        <w:trPr>
          <w:jc w:val="center"/>
        </w:trPr>
        <w:tc>
          <w:tcPr>
            <w:tcW w:w="570" w:type="dxa"/>
            <w:shd w:val="clear" w:color="auto" w:fill="auto"/>
          </w:tcPr>
          <w:p w14:paraId="79E9AC8A" w14:textId="77777777" w:rsidR="00A1742C" w:rsidRPr="009C13AB" w:rsidRDefault="004D2262" w:rsidP="00990EC2">
            <w:pPr>
              <w:rPr>
                <w:sz w:val="20"/>
                <w:szCs w:val="20"/>
              </w:rPr>
            </w:pPr>
            <w:r>
              <w:rPr>
                <w:sz w:val="20"/>
                <w:szCs w:val="20"/>
              </w:rPr>
              <w:t>2</w:t>
            </w:r>
          </w:p>
        </w:tc>
        <w:tc>
          <w:tcPr>
            <w:tcW w:w="3925" w:type="dxa"/>
            <w:shd w:val="clear" w:color="auto" w:fill="auto"/>
          </w:tcPr>
          <w:p w14:paraId="148D20E6" w14:textId="77777777" w:rsidR="00A1742C" w:rsidRPr="009C13AB" w:rsidRDefault="00A1742C" w:rsidP="00990EC2">
            <w:pPr>
              <w:rPr>
                <w:sz w:val="20"/>
                <w:szCs w:val="20"/>
              </w:rPr>
            </w:pPr>
          </w:p>
        </w:tc>
        <w:tc>
          <w:tcPr>
            <w:tcW w:w="1080" w:type="dxa"/>
            <w:shd w:val="clear" w:color="auto" w:fill="auto"/>
          </w:tcPr>
          <w:p w14:paraId="0533C74A" w14:textId="77777777" w:rsidR="00A1742C" w:rsidRPr="009C13AB" w:rsidRDefault="00A1742C" w:rsidP="00990EC2">
            <w:pPr>
              <w:rPr>
                <w:sz w:val="20"/>
                <w:szCs w:val="20"/>
              </w:rPr>
            </w:pPr>
          </w:p>
        </w:tc>
        <w:tc>
          <w:tcPr>
            <w:tcW w:w="1080" w:type="dxa"/>
            <w:shd w:val="clear" w:color="auto" w:fill="auto"/>
          </w:tcPr>
          <w:p w14:paraId="2E710A0C" w14:textId="77777777" w:rsidR="00A1742C" w:rsidRPr="009C13AB" w:rsidRDefault="00A1742C" w:rsidP="00990EC2">
            <w:pPr>
              <w:rPr>
                <w:sz w:val="20"/>
                <w:szCs w:val="20"/>
              </w:rPr>
            </w:pPr>
          </w:p>
        </w:tc>
        <w:tc>
          <w:tcPr>
            <w:tcW w:w="5220" w:type="dxa"/>
          </w:tcPr>
          <w:p w14:paraId="419B2F9F" w14:textId="77777777" w:rsidR="00A1742C" w:rsidRPr="009C13AB" w:rsidRDefault="00A1742C" w:rsidP="00990EC2">
            <w:pPr>
              <w:rPr>
                <w:sz w:val="20"/>
                <w:szCs w:val="20"/>
              </w:rPr>
            </w:pPr>
          </w:p>
        </w:tc>
        <w:tc>
          <w:tcPr>
            <w:tcW w:w="1170" w:type="dxa"/>
          </w:tcPr>
          <w:p w14:paraId="797EC89D" w14:textId="77777777" w:rsidR="00A1742C" w:rsidRPr="009C13AB" w:rsidRDefault="00A1742C" w:rsidP="00990EC2">
            <w:pPr>
              <w:rPr>
                <w:sz w:val="20"/>
                <w:szCs w:val="20"/>
              </w:rPr>
            </w:pPr>
          </w:p>
        </w:tc>
        <w:tc>
          <w:tcPr>
            <w:tcW w:w="1440" w:type="dxa"/>
          </w:tcPr>
          <w:p w14:paraId="0FE337C8" w14:textId="77777777" w:rsidR="00A1742C" w:rsidRPr="009C13AB" w:rsidRDefault="00A1742C" w:rsidP="00990EC2">
            <w:pPr>
              <w:rPr>
                <w:sz w:val="20"/>
                <w:szCs w:val="20"/>
              </w:rPr>
            </w:pPr>
          </w:p>
        </w:tc>
      </w:tr>
      <w:tr w:rsidR="00553B3C" w:rsidRPr="009C13AB" w14:paraId="6EB59174" w14:textId="77777777" w:rsidTr="36B04788">
        <w:trPr>
          <w:jc w:val="center"/>
        </w:trPr>
        <w:tc>
          <w:tcPr>
            <w:tcW w:w="570" w:type="dxa"/>
            <w:shd w:val="clear" w:color="auto" w:fill="auto"/>
          </w:tcPr>
          <w:p w14:paraId="13F5B42D" w14:textId="77777777" w:rsidR="00553B3C" w:rsidRDefault="00553B3C" w:rsidP="00990EC2">
            <w:pPr>
              <w:rPr>
                <w:sz w:val="20"/>
                <w:szCs w:val="20"/>
              </w:rPr>
            </w:pPr>
            <w:r>
              <w:rPr>
                <w:sz w:val="20"/>
                <w:szCs w:val="20"/>
              </w:rPr>
              <w:t>3</w:t>
            </w:r>
          </w:p>
        </w:tc>
        <w:tc>
          <w:tcPr>
            <w:tcW w:w="3925" w:type="dxa"/>
            <w:shd w:val="clear" w:color="auto" w:fill="auto"/>
          </w:tcPr>
          <w:p w14:paraId="540DF0CC" w14:textId="77777777" w:rsidR="00553B3C" w:rsidRPr="009C13AB" w:rsidRDefault="00553B3C" w:rsidP="00990EC2">
            <w:pPr>
              <w:rPr>
                <w:sz w:val="20"/>
                <w:szCs w:val="20"/>
              </w:rPr>
            </w:pPr>
          </w:p>
        </w:tc>
        <w:tc>
          <w:tcPr>
            <w:tcW w:w="1080" w:type="dxa"/>
            <w:shd w:val="clear" w:color="auto" w:fill="auto"/>
          </w:tcPr>
          <w:p w14:paraId="35DBA2C5" w14:textId="77777777" w:rsidR="00553B3C" w:rsidRPr="009C13AB" w:rsidRDefault="00553B3C" w:rsidP="00990EC2">
            <w:pPr>
              <w:rPr>
                <w:sz w:val="20"/>
                <w:szCs w:val="20"/>
              </w:rPr>
            </w:pPr>
          </w:p>
        </w:tc>
        <w:tc>
          <w:tcPr>
            <w:tcW w:w="1080" w:type="dxa"/>
            <w:shd w:val="clear" w:color="auto" w:fill="auto"/>
          </w:tcPr>
          <w:p w14:paraId="46001F2E" w14:textId="77777777" w:rsidR="00553B3C" w:rsidRPr="009C13AB" w:rsidRDefault="00553B3C" w:rsidP="00990EC2">
            <w:pPr>
              <w:rPr>
                <w:sz w:val="20"/>
                <w:szCs w:val="20"/>
              </w:rPr>
            </w:pPr>
          </w:p>
        </w:tc>
        <w:tc>
          <w:tcPr>
            <w:tcW w:w="5220" w:type="dxa"/>
          </w:tcPr>
          <w:p w14:paraId="0DB909B8" w14:textId="77777777" w:rsidR="00553B3C" w:rsidRPr="009C13AB" w:rsidRDefault="00553B3C" w:rsidP="00990EC2">
            <w:pPr>
              <w:rPr>
                <w:sz w:val="20"/>
                <w:szCs w:val="20"/>
              </w:rPr>
            </w:pPr>
          </w:p>
        </w:tc>
        <w:tc>
          <w:tcPr>
            <w:tcW w:w="1170" w:type="dxa"/>
          </w:tcPr>
          <w:p w14:paraId="0EB6A1CD" w14:textId="77777777" w:rsidR="00553B3C" w:rsidRPr="009C13AB" w:rsidRDefault="00553B3C" w:rsidP="00990EC2">
            <w:pPr>
              <w:rPr>
                <w:sz w:val="20"/>
                <w:szCs w:val="20"/>
              </w:rPr>
            </w:pPr>
          </w:p>
        </w:tc>
        <w:tc>
          <w:tcPr>
            <w:tcW w:w="1440" w:type="dxa"/>
          </w:tcPr>
          <w:p w14:paraId="0F69F3AB" w14:textId="77777777" w:rsidR="00553B3C" w:rsidRPr="009C13AB" w:rsidRDefault="00553B3C" w:rsidP="00990EC2">
            <w:pPr>
              <w:rPr>
                <w:sz w:val="20"/>
                <w:szCs w:val="20"/>
              </w:rPr>
            </w:pPr>
          </w:p>
        </w:tc>
      </w:tr>
    </w:tbl>
    <w:p w14:paraId="469A0108" w14:textId="77777777" w:rsidR="00F34D93" w:rsidRDefault="00F37ACE" w:rsidP="00DE3DE7">
      <w:pPr>
        <w:keepNext/>
        <w:ind w:left="720"/>
        <w:rPr>
          <w:b/>
          <w:bCs/>
        </w:rPr>
      </w:pPr>
      <w:r>
        <w:rPr>
          <w:b/>
          <w:bCs/>
        </w:rPr>
        <w:t>5</w:t>
      </w:r>
      <w:r w:rsidR="00F34D93" w:rsidRPr="00465F6B">
        <w:rPr>
          <w:b/>
          <w:bCs/>
        </w:rPr>
        <w:t xml:space="preserve">.2 Determine </w:t>
      </w:r>
      <w:r w:rsidR="00F34D93">
        <w:rPr>
          <w:b/>
          <w:bCs/>
        </w:rPr>
        <w:t xml:space="preserve">potential </w:t>
      </w:r>
      <w:r w:rsidR="00F34D93" w:rsidRPr="00465F6B">
        <w:rPr>
          <w:b/>
          <w:bCs/>
        </w:rPr>
        <w:t>mitigation strategies</w:t>
      </w:r>
      <w:r w:rsidR="00F34D93">
        <w:rPr>
          <w:b/>
          <w:bCs/>
        </w:rPr>
        <w:t xml:space="preserve"> to address each residual risk, </w:t>
      </w:r>
      <w:r w:rsidR="00F34D93" w:rsidRPr="00465F6B">
        <w:rPr>
          <w:b/>
          <w:bCs/>
        </w:rPr>
        <w:t xml:space="preserve">assign </w:t>
      </w:r>
      <w:r w:rsidR="001C1C74">
        <w:rPr>
          <w:b/>
          <w:bCs/>
        </w:rPr>
        <w:t>responsibilities</w:t>
      </w:r>
      <w:r w:rsidR="00F34D93">
        <w:rPr>
          <w:b/>
          <w:bCs/>
        </w:rPr>
        <w:t>, and determine an estimated go-live date for each mitigation strategy</w:t>
      </w:r>
    </w:p>
    <w:p w14:paraId="1D266D58" w14:textId="77777777" w:rsidR="00691F42" w:rsidRPr="00083602" w:rsidRDefault="00F34D93" w:rsidP="00AC7937">
      <w:pPr>
        <w:pStyle w:val="CommentText"/>
        <w:rPr>
          <w:sz w:val="22"/>
          <w:szCs w:val="22"/>
        </w:rPr>
      </w:pPr>
      <w:r w:rsidRPr="00083602">
        <w:rPr>
          <w:sz w:val="22"/>
          <w:szCs w:val="22"/>
        </w:rPr>
        <w:t xml:space="preserve">After determining the </w:t>
      </w:r>
      <w:r w:rsidR="00AB6801">
        <w:rPr>
          <w:sz w:val="22"/>
          <w:szCs w:val="22"/>
        </w:rPr>
        <w:t xml:space="preserve">priority of the inherent </w:t>
      </w:r>
      <w:r w:rsidRPr="00083602">
        <w:rPr>
          <w:sz w:val="22"/>
          <w:szCs w:val="22"/>
        </w:rPr>
        <w:t xml:space="preserve">risk, next describe the risk response by identifying potential risk mitigation strategies and/or actions to mitigate residual risks. </w:t>
      </w:r>
      <w:r w:rsidR="00EC110D">
        <w:rPr>
          <w:sz w:val="22"/>
          <w:szCs w:val="22"/>
        </w:rPr>
        <w:t xml:space="preserve"> </w:t>
      </w:r>
      <w:r w:rsidR="00635C69">
        <w:rPr>
          <w:sz w:val="22"/>
          <w:szCs w:val="22"/>
        </w:rPr>
        <w:t>It</w:t>
      </w:r>
      <w:r w:rsidR="00691F42" w:rsidRPr="00083602">
        <w:rPr>
          <w:sz w:val="22"/>
          <w:szCs w:val="22"/>
        </w:rPr>
        <w:t xml:space="preserve"> may </w:t>
      </w:r>
      <w:r w:rsidR="00635C69">
        <w:rPr>
          <w:sz w:val="22"/>
          <w:szCs w:val="22"/>
        </w:rPr>
        <w:t>be</w:t>
      </w:r>
      <w:r w:rsidR="00691F42" w:rsidRPr="00083602">
        <w:rPr>
          <w:sz w:val="22"/>
          <w:szCs w:val="22"/>
        </w:rPr>
        <w:t xml:space="preserve"> helpful to identify the broad nature of each mitigation strategy taken in response to risks.  </w:t>
      </w:r>
      <w:r w:rsidR="0029549E" w:rsidRPr="00083602">
        <w:rPr>
          <w:sz w:val="22"/>
          <w:szCs w:val="22"/>
        </w:rPr>
        <w:t>Such categories may include</w:t>
      </w:r>
      <w:r w:rsidR="00BB4612">
        <w:rPr>
          <w:sz w:val="22"/>
          <w:szCs w:val="22"/>
        </w:rPr>
        <w:t>—</w:t>
      </w:r>
    </w:p>
    <w:p w14:paraId="663D8FD9" w14:textId="77777777" w:rsidR="0029549E" w:rsidRPr="00083602" w:rsidRDefault="0029549E" w:rsidP="00AC7937">
      <w:pPr>
        <w:pStyle w:val="ListParagraph"/>
        <w:numPr>
          <w:ilvl w:val="0"/>
          <w:numId w:val="3"/>
        </w:numPr>
      </w:pPr>
      <w:r w:rsidRPr="003448A0">
        <w:t>Acceptance</w:t>
      </w:r>
      <w:r w:rsidRPr="00083602">
        <w:t xml:space="preserve">: </w:t>
      </w:r>
      <w:r w:rsidR="00FD4860">
        <w:t xml:space="preserve"> </w:t>
      </w:r>
      <w:r w:rsidRPr="00083602">
        <w:t>No action is taken to respond to the risk based on the insignificance of the risk</w:t>
      </w:r>
      <w:r w:rsidR="00FD4860">
        <w:t>.</w:t>
      </w:r>
    </w:p>
    <w:p w14:paraId="62C47197" w14:textId="77777777" w:rsidR="0029549E" w:rsidRPr="00083602" w:rsidRDefault="0029549E" w:rsidP="00AC7937">
      <w:pPr>
        <w:pStyle w:val="ListParagraph"/>
        <w:numPr>
          <w:ilvl w:val="0"/>
          <w:numId w:val="3"/>
        </w:numPr>
      </w:pPr>
      <w:r w:rsidRPr="003448A0">
        <w:t>Avoidance</w:t>
      </w:r>
      <w:r w:rsidRPr="00083602">
        <w:t xml:space="preserve">: </w:t>
      </w:r>
      <w:r w:rsidR="00FD4860">
        <w:t xml:space="preserve"> </w:t>
      </w:r>
      <w:r w:rsidRPr="00083602">
        <w:t>Action needs to be taken to stop the operational process or the part of the operational process causing the risk</w:t>
      </w:r>
      <w:r w:rsidR="00FD4860">
        <w:t>.</w:t>
      </w:r>
    </w:p>
    <w:p w14:paraId="25468E11" w14:textId="77777777" w:rsidR="0029549E" w:rsidRPr="00083602" w:rsidRDefault="0029549E" w:rsidP="00AC7937">
      <w:pPr>
        <w:pStyle w:val="ListParagraph"/>
        <w:numPr>
          <w:ilvl w:val="0"/>
          <w:numId w:val="3"/>
        </w:numPr>
      </w:pPr>
      <w:r w:rsidRPr="003448A0">
        <w:t>Reduction</w:t>
      </w:r>
      <w:r w:rsidRPr="00083602">
        <w:t xml:space="preserve">: </w:t>
      </w:r>
      <w:r w:rsidR="00FD4860">
        <w:t xml:space="preserve"> </w:t>
      </w:r>
      <w:r w:rsidRPr="00083602">
        <w:t>Action needs to be taken to reduce the likelihood or magnitude of the risk</w:t>
      </w:r>
      <w:r w:rsidR="00FD4860">
        <w:t>.</w:t>
      </w:r>
    </w:p>
    <w:p w14:paraId="1EC4DE58" w14:textId="77777777" w:rsidR="0029549E" w:rsidRPr="00083602" w:rsidRDefault="0029549E" w:rsidP="00AC7937">
      <w:pPr>
        <w:pStyle w:val="ListParagraph"/>
        <w:numPr>
          <w:ilvl w:val="0"/>
          <w:numId w:val="3"/>
        </w:numPr>
      </w:pPr>
      <w:r w:rsidRPr="003448A0">
        <w:t>Sharing</w:t>
      </w:r>
      <w:r w:rsidRPr="00083602">
        <w:t xml:space="preserve">: </w:t>
      </w:r>
      <w:r w:rsidR="00FD4860">
        <w:t xml:space="preserve"> </w:t>
      </w:r>
      <w:r w:rsidRPr="00083602">
        <w:t>Action is taken to transfer or share risks across the entity or with external parties</w:t>
      </w:r>
      <w:r w:rsidR="00FD4860">
        <w:t>.</w:t>
      </w:r>
    </w:p>
    <w:p w14:paraId="0192AA58" w14:textId="77777777" w:rsidR="004B653A" w:rsidRDefault="004B653A" w:rsidP="00AC7937">
      <w:pPr>
        <w:pStyle w:val="CommentText"/>
        <w:rPr>
          <w:sz w:val="22"/>
          <w:szCs w:val="22"/>
        </w:rPr>
      </w:pPr>
      <w:r w:rsidRPr="007533C9">
        <w:rPr>
          <w:sz w:val="22"/>
          <w:szCs w:val="22"/>
        </w:rPr>
        <w:t xml:space="preserve">Mitigation strategies should be reassessed at regular (e.g., monthly) intervals to track </w:t>
      </w:r>
      <w:r>
        <w:rPr>
          <w:sz w:val="22"/>
          <w:szCs w:val="22"/>
        </w:rPr>
        <w:t>their status and evaluate performance</w:t>
      </w:r>
      <w:r w:rsidRPr="007533C9">
        <w:rPr>
          <w:sz w:val="22"/>
          <w:szCs w:val="22"/>
        </w:rPr>
        <w:t xml:space="preserve">. </w:t>
      </w:r>
      <w:r>
        <w:rPr>
          <w:sz w:val="22"/>
          <w:szCs w:val="22"/>
        </w:rPr>
        <w:t xml:space="preserve"> </w:t>
      </w:r>
      <w:r w:rsidRPr="007533C9">
        <w:rPr>
          <w:sz w:val="22"/>
          <w:szCs w:val="22"/>
        </w:rPr>
        <w:t xml:space="preserve">It may be helpful to add a "Status" column to track </w:t>
      </w:r>
      <w:r>
        <w:rPr>
          <w:sz w:val="22"/>
          <w:szCs w:val="22"/>
        </w:rPr>
        <w:t>the progress of each</w:t>
      </w:r>
      <w:r w:rsidRPr="007533C9">
        <w:rPr>
          <w:sz w:val="22"/>
          <w:szCs w:val="22"/>
        </w:rPr>
        <w:t xml:space="preserve"> mitigation strateg</w:t>
      </w:r>
      <w:r>
        <w:rPr>
          <w:sz w:val="22"/>
          <w:szCs w:val="22"/>
        </w:rPr>
        <w:t xml:space="preserve">y, and when they should be reassessed to determine if adjustments are needed. </w:t>
      </w:r>
    </w:p>
    <w:p w14:paraId="729D934F" w14:textId="77777777" w:rsidR="008A6FBE" w:rsidRPr="00083602" w:rsidRDefault="00F34D93" w:rsidP="00AC7937">
      <w:pPr>
        <w:pStyle w:val="CommentText"/>
        <w:rPr>
          <w:sz w:val="22"/>
          <w:szCs w:val="22"/>
        </w:rPr>
      </w:pPr>
      <w:r w:rsidRPr="00083602">
        <w:rPr>
          <w:sz w:val="22"/>
          <w:szCs w:val="22"/>
        </w:rPr>
        <w:t>This step also includes identifying a responsible entity, either individuals or divisions, assigned to manage implementation of mitigation strategies, and a</w:t>
      </w:r>
      <w:r w:rsidR="008A6FBE" w:rsidRPr="00083602">
        <w:rPr>
          <w:sz w:val="22"/>
          <w:szCs w:val="22"/>
        </w:rPr>
        <w:t>n estimated go-live date (EGD), or a</w:t>
      </w:r>
      <w:r w:rsidRPr="00083602">
        <w:rPr>
          <w:sz w:val="22"/>
          <w:szCs w:val="22"/>
        </w:rPr>
        <w:t xml:space="preserve"> proposed implementation</w:t>
      </w:r>
      <w:r w:rsidR="008A6FBE" w:rsidRPr="00083602">
        <w:rPr>
          <w:sz w:val="22"/>
          <w:szCs w:val="22"/>
        </w:rPr>
        <w:t xml:space="preserve"> date (e.g., 07/01/2021 </w:t>
      </w:r>
      <w:r w:rsidR="00C00756">
        <w:rPr>
          <w:sz w:val="22"/>
          <w:szCs w:val="22"/>
        </w:rPr>
        <w:t>or</w:t>
      </w:r>
      <w:r w:rsidR="008A6FBE" w:rsidRPr="00083602">
        <w:rPr>
          <w:sz w:val="22"/>
          <w:szCs w:val="22"/>
        </w:rPr>
        <w:t xml:space="preserve"> Q1</w:t>
      </w:r>
      <w:r w:rsidR="00D51C5B">
        <w:rPr>
          <w:sz w:val="22"/>
          <w:szCs w:val="22"/>
        </w:rPr>
        <w:t xml:space="preserve"> 2021</w:t>
      </w:r>
      <w:r w:rsidR="008A6FBE" w:rsidRPr="00083602">
        <w:rPr>
          <w:sz w:val="22"/>
          <w:szCs w:val="22"/>
        </w:rPr>
        <w:t>)</w:t>
      </w:r>
      <w:r w:rsidRPr="00083602">
        <w:rPr>
          <w:sz w:val="22"/>
          <w:szCs w:val="22"/>
        </w:rPr>
        <w:t>.</w:t>
      </w:r>
      <w:r w:rsidR="008A6FBE" w:rsidRPr="00083602">
        <w:rPr>
          <w:sz w:val="22"/>
          <w:szCs w:val="22"/>
        </w:rPr>
        <w:t xml:space="preserve"> </w:t>
      </w:r>
      <w:r w:rsidR="00FD4860">
        <w:rPr>
          <w:sz w:val="22"/>
          <w:szCs w:val="22"/>
        </w:rPr>
        <w:t xml:space="preserve"> </w:t>
      </w:r>
      <w:r w:rsidR="008A6FBE" w:rsidRPr="00083602">
        <w:rPr>
          <w:sz w:val="22"/>
          <w:szCs w:val="22"/>
        </w:rPr>
        <w:t xml:space="preserve">Please note, for activities that have a single date when they become effective, such as the issuance of a regulation, the EGD is that date. </w:t>
      </w:r>
      <w:r w:rsidR="00FD4860">
        <w:rPr>
          <w:sz w:val="22"/>
          <w:szCs w:val="22"/>
        </w:rPr>
        <w:t xml:space="preserve"> </w:t>
      </w:r>
      <w:r w:rsidR="008A6FBE" w:rsidRPr="00083602">
        <w:rPr>
          <w:sz w:val="22"/>
          <w:szCs w:val="22"/>
        </w:rPr>
        <w:t xml:space="preserve">For mitigations that will be ongoing for an indeterminate period of time, such as data monitoring, the EGD is the date the activity began. </w:t>
      </w:r>
      <w:r w:rsidR="00FD4860">
        <w:rPr>
          <w:sz w:val="22"/>
          <w:szCs w:val="22"/>
        </w:rPr>
        <w:t xml:space="preserve"> </w:t>
      </w:r>
      <w:r w:rsidR="008A6FBE" w:rsidRPr="00083602">
        <w:rPr>
          <w:sz w:val="22"/>
          <w:szCs w:val="22"/>
        </w:rPr>
        <w:t xml:space="preserve">The idea is to capture the date the mitigation begins to have an effect on the </w:t>
      </w:r>
      <w:r w:rsidR="00770CC4" w:rsidRPr="00083602">
        <w:rPr>
          <w:sz w:val="22"/>
          <w:szCs w:val="22"/>
        </w:rPr>
        <w:t>risk</w:t>
      </w:r>
      <w:r w:rsidR="008A6FBE" w:rsidRPr="00083602">
        <w:rPr>
          <w:sz w:val="22"/>
          <w:szCs w:val="22"/>
        </w:rPr>
        <w:t xml:space="preserve">. </w:t>
      </w:r>
    </w:p>
    <w:p w14:paraId="22293763" w14:textId="77777777" w:rsidR="002C161C" w:rsidRDefault="002C161C">
      <w:r w:rsidRPr="003448A0">
        <w:rPr>
          <w:b/>
          <w:bCs/>
          <w:u w:val="single"/>
        </w:rPr>
        <w:t>Note</w:t>
      </w:r>
      <w:r>
        <w:t xml:space="preserve">:  </w:t>
      </w:r>
      <w:r w:rsidRPr="002C161C">
        <w:t>You may need multiple mitigations strategies for a given risk.</w:t>
      </w:r>
    </w:p>
    <w:p w14:paraId="566255D8" w14:textId="5CEB729A" w:rsidR="000C5552" w:rsidRDefault="000C5552">
      <w:r>
        <w:br w:type="page"/>
      </w:r>
    </w:p>
    <w:p w14:paraId="4F98753B" w14:textId="26D638DE" w:rsidR="00C071CE" w:rsidRDefault="00C071CE">
      <w:r>
        <w:rPr>
          <w:b/>
          <w:bCs/>
          <w:sz w:val="20"/>
          <w:szCs w:val="20"/>
        </w:rPr>
        <w:t>Table 6. Determine Mitigation Strategies</w:t>
      </w:r>
    </w:p>
    <w:tbl>
      <w:tblPr>
        <w:tblStyle w:val="TableGrid"/>
        <w:tblW w:w="14395" w:type="dxa"/>
        <w:tblLook w:val="04A0" w:firstRow="1" w:lastRow="0" w:firstColumn="1" w:lastColumn="0" w:noHBand="0" w:noVBand="1"/>
        <w:tblCaption w:val="Table 6. Determine Mitigation Strategies"/>
      </w:tblPr>
      <w:tblGrid>
        <w:gridCol w:w="555"/>
        <w:gridCol w:w="3896"/>
        <w:gridCol w:w="903"/>
        <w:gridCol w:w="1075"/>
        <w:gridCol w:w="1062"/>
        <w:gridCol w:w="3574"/>
        <w:gridCol w:w="1980"/>
        <w:gridCol w:w="1350"/>
      </w:tblGrid>
      <w:tr w:rsidR="007A04E2" w:rsidRPr="00B3064D" w14:paraId="064EAF85" w14:textId="77777777" w:rsidTr="00C075C2">
        <w:trPr>
          <w:cantSplit/>
          <w:tblHeader/>
        </w:trPr>
        <w:tc>
          <w:tcPr>
            <w:tcW w:w="555" w:type="dxa"/>
            <w:tcBorders>
              <w:bottom w:val="single" w:sz="4" w:space="0" w:color="auto"/>
            </w:tcBorders>
            <w:shd w:val="clear" w:color="auto" w:fill="223767"/>
            <w:vAlign w:val="center"/>
          </w:tcPr>
          <w:p w14:paraId="06E4E1F6" w14:textId="77777777" w:rsidR="00F34D93" w:rsidRPr="00B3064D" w:rsidRDefault="00F34D93" w:rsidP="00D23596">
            <w:pPr>
              <w:jc w:val="center"/>
              <w:rPr>
                <w:b/>
                <w:bCs/>
                <w:sz w:val="20"/>
                <w:szCs w:val="20"/>
              </w:rPr>
            </w:pPr>
            <w:r w:rsidRPr="00B3064D">
              <w:rPr>
                <w:b/>
                <w:bCs/>
                <w:sz w:val="20"/>
                <w:szCs w:val="20"/>
              </w:rPr>
              <w:t>Risk #</w:t>
            </w:r>
          </w:p>
        </w:tc>
        <w:tc>
          <w:tcPr>
            <w:tcW w:w="3896" w:type="dxa"/>
            <w:tcBorders>
              <w:bottom w:val="single" w:sz="4" w:space="0" w:color="auto"/>
            </w:tcBorders>
            <w:shd w:val="clear" w:color="auto" w:fill="223767"/>
            <w:vAlign w:val="center"/>
          </w:tcPr>
          <w:p w14:paraId="15BD5FFA" w14:textId="77777777" w:rsidR="00F34D93" w:rsidRPr="00B3064D" w:rsidRDefault="00F34D93" w:rsidP="00D23596">
            <w:pPr>
              <w:jc w:val="center"/>
              <w:rPr>
                <w:b/>
                <w:bCs/>
                <w:sz w:val="20"/>
                <w:szCs w:val="20"/>
              </w:rPr>
            </w:pPr>
            <w:r w:rsidRPr="00B3064D">
              <w:rPr>
                <w:b/>
                <w:bCs/>
                <w:sz w:val="20"/>
                <w:szCs w:val="20"/>
              </w:rPr>
              <w:t>Description of Inherent Risk</w:t>
            </w:r>
            <w:r w:rsidR="00CD517B">
              <w:rPr>
                <w:b/>
                <w:bCs/>
                <w:sz w:val="20"/>
                <w:szCs w:val="20"/>
              </w:rPr>
              <w:t xml:space="preserve"> (Associated Waiver/Flexibility</w:t>
            </w:r>
            <w:r w:rsidR="00AC7937">
              <w:rPr>
                <w:b/>
                <w:bCs/>
                <w:sz w:val="20"/>
                <w:szCs w:val="20"/>
              </w:rPr>
              <w:t>/Requirement</w:t>
            </w:r>
            <w:r w:rsidR="00CD517B">
              <w:rPr>
                <w:b/>
                <w:bCs/>
                <w:sz w:val="20"/>
                <w:szCs w:val="20"/>
              </w:rPr>
              <w:t xml:space="preserve"> Number[s])</w:t>
            </w:r>
          </w:p>
        </w:tc>
        <w:tc>
          <w:tcPr>
            <w:tcW w:w="903" w:type="dxa"/>
            <w:tcBorders>
              <w:bottom w:val="single" w:sz="4" w:space="0" w:color="auto"/>
            </w:tcBorders>
            <w:shd w:val="clear" w:color="auto" w:fill="223767"/>
            <w:vAlign w:val="center"/>
          </w:tcPr>
          <w:p w14:paraId="1D17C9D9" w14:textId="77777777" w:rsidR="00F34D93" w:rsidRPr="00B3064D" w:rsidRDefault="00F34D93" w:rsidP="00D23596">
            <w:pPr>
              <w:jc w:val="center"/>
              <w:rPr>
                <w:b/>
                <w:bCs/>
                <w:sz w:val="20"/>
                <w:szCs w:val="20"/>
              </w:rPr>
            </w:pPr>
            <w:r w:rsidRPr="00B3064D">
              <w:rPr>
                <w:b/>
                <w:bCs/>
                <w:sz w:val="20"/>
                <w:szCs w:val="20"/>
              </w:rPr>
              <w:t>Overall Score</w:t>
            </w:r>
          </w:p>
        </w:tc>
        <w:tc>
          <w:tcPr>
            <w:tcW w:w="1075" w:type="dxa"/>
            <w:tcBorders>
              <w:bottom w:val="single" w:sz="4" w:space="0" w:color="auto"/>
            </w:tcBorders>
            <w:shd w:val="clear" w:color="auto" w:fill="223767"/>
            <w:vAlign w:val="center"/>
          </w:tcPr>
          <w:p w14:paraId="34A73D02" w14:textId="77777777" w:rsidR="00F34D93" w:rsidRPr="00B3064D" w:rsidRDefault="00F34D93" w:rsidP="00D23596">
            <w:pPr>
              <w:jc w:val="center"/>
              <w:rPr>
                <w:b/>
                <w:bCs/>
                <w:sz w:val="20"/>
                <w:szCs w:val="20"/>
              </w:rPr>
            </w:pPr>
            <w:r w:rsidRPr="00B3064D">
              <w:rPr>
                <w:b/>
                <w:bCs/>
                <w:sz w:val="20"/>
                <w:szCs w:val="20"/>
              </w:rPr>
              <w:t>Risk Tolerance</w:t>
            </w:r>
          </w:p>
        </w:tc>
        <w:tc>
          <w:tcPr>
            <w:tcW w:w="1062" w:type="dxa"/>
            <w:tcBorders>
              <w:bottom w:val="single" w:sz="4" w:space="0" w:color="auto"/>
            </w:tcBorders>
            <w:shd w:val="clear" w:color="auto" w:fill="223767"/>
            <w:vAlign w:val="center"/>
          </w:tcPr>
          <w:p w14:paraId="0EDC51E4" w14:textId="77777777" w:rsidR="00F34D93" w:rsidRPr="00B3064D" w:rsidRDefault="00F34D93" w:rsidP="00D23596">
            <w:pPr>
              <w:jc w:val="center"/>
              <w:rPr>
                <w:b/>
                <w:bCs/>
                <w:sz w:val="20"/>
                <w:szCs w:val="20"/>
              </w:rPr>
            </w:pPr>
            <w:r w:rsidRPr="00B3064D">
              <w:rPr>
                <w:b/>
                <w:bCs/>
                <w:sz w:val="20"/>
                <w:szCs w:val="20"/>
              </w:rPr>
              <w:t>Residual Risk</w:t>
            </w:r>
            <w:r w:rsidR="00D377B5" w:rsidRPr="00B3064D">
              <w:rPr>
                <w:b/>
                <w:bCs/>
                <w:sz w:val="20"/>
                <w:szCs w:val="20"/>
              </w:rPr>
              <w:t xml:space="preserve"> Level</w:t>
            </w:r>
          </w:p>
        </w:tc>
        <w:tc>
          <w:tcPr>
            <w:tcW w:w="3574" w:type="dxa"/>
            <w:tcBorders>
              <w:bottom w:val="single" w:sz="4" w:space="0" w:color="auto"/>
            </w:tcBorders>
            <w:shd w:val="clear" w:color="auto" w:fill="223767"/>
            <w:vAlign w:val="center"/>
          </w:tcPr>
          <w:p w14:paraId="353E5B57" w14:textId="77777777" w:rsidR="00F34D93" w:rsidRPr="00B3064D" w:rsidRDefault="00F34D93" w:rsidP="00D23596">
            <w:pPr>
              <w:jc w:val="center"/>
              <w:rPr>
                <w:b/>
                <w:bCs/>
                <w:sz w:val="20"/>
                <w:szCs w:val="20"/>
              </w:rPr>
            </w:pPr>
            <w:r w:rsidRPr="00B3064D">
              <w:rPr>
                <w:b/>
                <w:bCs/>
                <w:sz w:val="20"/>
                <w:szCs w:val="20"/>
              </w:rPr>
              <w:t>Mitigation Strategies</w:t>
            </w:r>
          </w:p>
        </w:tc>
        <w:tc>
          <w:tcPr>
            <w:tcW w:w="1980" w:type="dxa"/>
            <w:tcBorders>
              <w:bottom w:val="single" w:sz="4" w:space="0" w:color="auto"/>
            </w:tcBorders>
            <w:shd w:val="clear" w:color="auto" w:fill="223767"/>
            <w:vAlign w:val="center"/>
          </w:tcPr>
          <w:p w14:paraId="3442E555" w14:textId="77777777" w:rsidR="00F34D93" w:rsidRPr="00B3064D" w:rsidRDefault="00F34D93" w:rsidP="00D23596">
            <w:pPr>
              <w:jc w:val="center"/>
              <w:rPr>
                <w:b/>
                <w:bCs/>
                <w:sz w:val="20"/>
                <w:szCs w:val="20"/>
              </w:rPr>
            </w:pPr>
            <w:r w:rsidRPr="00B3064D">
              <w:rPr>
                <w:b/>
                <w:bCs/>
                <w:sz w:val="20"/>
                <w:szCs w:val="20"/>
              </w:rPr>
              <w:t>Responsible Entity</w:t>
            </w:r>
          </w:p>
        </w:tc>
        <w:tc>
          <w:tcPr>
            <w:tcW w:w="1350" w:type="dxa"/>
            <w:tcBorders>
              <w:bottom w:val="single" w:sz="4" w:space="0" w:color="auto"/>
            </w:tcBorders>
            <w:shd w:val="clear" w:color="auto" w:fill="223767"/>
            <w:vAlign w:val="center"/>
          </w:tcPr>
          <w:p w14:paraId="0564C7B9" w14:textId="77777777" w:rsidR="00F34D93" w:rsidRPr="00B3064D" w:rsidRDefault="00F34D93" w:rsidP="00D23596">
            <w:pPr>
              <w:jc w:val="center"/>
              <w:rPr>
                <w:b/>
                <w:bCs/>
                <w:sz w:val="20"/>
                <w:szCs w:val="20"/>
              </w:rPr>
            </w:pPr>
            <w:r w:rsidRPr="00B3064D">
              <w:rPr>
                <w:b/>
                <w:bCs/>
                <w:sz w:val="20"/>
                <w:szCs w:val="20"/>
              </w:rPr>
              <w:t>Estimated Go-Live Date</w:t>
            </w:r>
          </w:p>
        </w:tc>
      </w:tr>
      <w:tr w:rsidR="007A04E2" w:rsidRPr="00B3064D" w14:paraId="60E2E627" w14:textId="77777777" w:rsidTr="00176FB4">
        <w:trPr>
          <w:cantSplit/>
          <w:trHeight w:val="2033"/>
        </w:trPr>
        <w:tc>
          <w:tcPr>
            <w:tcW w:w="555" w:type="dxa"/>
            <w:tcBorders>
              <w:bottom w:val="nil"/>
            </w:tcBorders>
            <w:shd w:val="clear" w:color="auto" w:fill="auto"/>
          </w:tcPr>
          <w:p w14:paraId="13B03458" w14:textId="77777777" w:rsidR="005E23AF" w:rsidRPr="00B3064D" w:rsidRDefault="005E23AF" w:rsidP="005E23AF">
            <w:pPr>
              <w:rPr>
                <w:sz w:val="20"/>
                <w:szCs w:val="20"/>
              </w:rPr>
            </w:pPr>
            <w:r>
              <w:rPr>
                <w:sz w:val="20"/>
                <w:szCs w:val="20"/>
              </w:rPr>
              <w:t>1</w:t>
            </w:r>
          </w:p>
        </w:tc>
        <w:tc>
          <w:tcPr>
            <w:tcW w:w="3896" w:type="dxa"/>
            <w:tcBorders>
              <w:bottom w:val="nil"/>
            </w:tcBorders>
            <w:shd w:val="clear" w:color="auto" w:fill="auto"/>
          </w:tcPr>
          <w:p w14:paraId="69D4E231" w14:textId="77777777" w:rsidR="00BB4612" w:rsidRDefault="00BB4612" w:rsidP="005E23AF">
            <w:pPr>
              <w:rPr>
                <w:sz w:val="20"/>
                <w:szCs w:val="20"/>
              </w:rPr>
            </w:pPr>
            <w:r w:rsidRPr="006E74FF">
              <w:rPr>
                <w:b/>
                <w:bCs/>
              </w:rPr>
              <w:t>EXAMPLE</w:t>
            </w:r>
            <w:r>
              <w:rPr>
                <w:b/>
                <w:bCs/>
              </w:rPr>
              <w:t>:</w:t>
            </w:r>
          </w:p>
          <w:p w14:paraId="26F663EB" w14:textId="6D3E110C" w:rsidR="005E23AF" w:rsidRPr="00B3064D" w:rsidRDefault="005E23AF" w:rsidP="00437EC6">
            <w:pPr>
              <w:rPr>
                <w:sz w:val="20"/>
                <w:szCs w:val="20"/>
              </w:rPr>
            </w:pPr>
            <w:r w:rsidRPr="00B3064D">
              <w:rPr>
                <w:sz w:val="20"/>
                <w:szCs w:val="20"/>
              </w:rPr>
              <w:t>Ineligible individuals remain enrolled in coverage after the permissible period</w:t>
            </w:r>
            <w:r w:rsidR="00C44FBA">
              <w:rPr>
                <w:sz w:val="20"/>
                <w:szCs w:val="20"/>
              </w:rPr>
              <w:t xml:space="preserve"> (</w:t>
            </w:r>
            <w:r w:rsidR="00A57BF1">
              <w:rPr>
                <w:sz w:val="20"/>
                <w:szCs w:val="20"/>
              </w:rPr>
              <w:t>i.e</w:t>
            </w:r>
            <w:r w:rsidR="00354637">
              <w:rPr>
                <w:sz w:val="20"/>
                <w:szCs w:val="20"/>
              </w:rPr>
              <w:t>.,</w:t>
            </w:r>
            <w:r w:rsidR="006F46B3">
              <w:rPr>
                <w:sz w:val="20"/>
                <w:szCs w:val="20"/>
              </w:rPr>
              <w:t xml:space="preserve"> through the end of the unwinding period after the PHE ends)</w:t>
            </w:r>
            <w:r w:rsidRPr="00B3064D">
              <w:rPr>
                <w:sz w:val="20"/>
                <w:szCs w:val="20"/>
              </w:rPr>
              <w:t xml:space="preserve"> given the volume of cases to process and limited time to do so</w:t>
            </w:r>
            <w:r w:rsidR="00C01073">
              <w:rPr>
                <w:sz w:val="20"/>
                <w:szCs w:val="20"/>
              </w:rPr>
              <w:t xml:space="preserve"> </w:t>
            </w:r>
            <w:r w:rsidR="00C01073" w:rsidRPr="00C01073">
              <w:rPr>
                <w:sz w:val="20"/>
                <w:szCs w:val="20"/>
              </w:rPr>
              <w:t>(1)</w:t>
            </w:r>
            <w:r w:rsidRPr="00B3064D">
              <w:rPr>
                <w:sz w:val="20"/>
                <w:szCs w:val="20"/>
              </w:rPr>
              <w:t>.</w:t>
            </w:r>
          </w:p>
        </w:tc>
        <w:tc>
          <w:tcPr>
            <w:tcW w:w="903" w:type="dxa"/>
            <w:tcBorders>
              <w:bottom w:val="nil"/>
            </w:tcBorders>
            <w:shd w:val="clear" w:color="auto" w:fill="auto"/>
          </w:tcPr>
          <w:p w14:paraId="5563FA59" w14:textId="77777777" w:rsidR="005E23AF" w:rsidRPr="00B3064D" w:rsidRDefault="005E23AF" w:rsidP="005E23AF">
            <w:pPr>
              <w:jc w:val="center"/>
              <w:rPr>
                <w:sz w:val="20"/>
                <w:szCs w:val="20"/>
              </w:rPr>
            </w:pPr>
            <w:r>
              <w:rPr>
                <w:sz w:val="20"/>
                <w:szCs w:val="20"/>
              </w:rPr>
              <w:t>Medium</w:t>
            </w:r>
          </w:p>
        </w:tc>
        <w:tc>
          <w:tcPr>
            <w:tcW w:w="1075" w:type="dxa"/>
            <w:tcBorders>
              <w:bottom w:val="nil"/>
            </w:tcBorders>
            <w:shd w:val="clear" w:color="auto" w:fill="auto"/>
          </w:tcPr>
          <w:p w14:paraId="77880936" w14:textId="77777777" w:rsidR="005E23AF" w:rsidRPr="00B3064D" w:rsidRDefault="005E23AF" w:rsidP="005E23AF">
            <w:pPr>
              <w:jc w:val="center"/>
              <w:rPr>
                <w:sz w:val="20"/>
                <w:szCs w:val="20"/>
              </w:rPr>
            </w:pPr>
            <w:r>
              <w:rPr>
                <w:sz w:val="20"/>
                <w:szCs w:val="20"/>
              </w:rPr>
              <w:t>Low</w:t>
            </w:r>
          </w:p>
        </w:tc>
        <w:tc>
          <w:tcPr>
            <w:tcW w:w="1062" w:type="dxa"/>
            <w:tcBorders>
              <w:bottom w:val="nil"/>
            </w:tcBorders>
            <w:shd w:val="clear" w:color="auto" w:fill="auto"/>
          </w:tcPr>
          <w:p w14:paraId="38D65780" w14:textId="77777777" w:rsidR="005E23AF" w:rsidRPr="00B3064D" w:rsidRDefault="005E1CA8" w:rsidP="005E1CA8">
            <w:pPr>
              <w:jc w:val="center"/>
              <w:rPr>
                <w:sz w:val="20"/>
                <w:szCs w:val="20"/>
              </w:rPr>
            </w:pPr>
            <w:r>
              <w:rPr>
                <w:sz w:val="20"/>
                <w:szCs w:val="20"/>
              </w:rPr>
              <w:t>Medium</w:t>
            </w:r>
          </w:p>
        </w:tc>
        <w:tc>
          <w:tcPr>
            <w:tcW w:w="3574" w:type="dxa"/>
            <w:tcBorders>
              <w:bottom w:val="nil"/>
            </w:tcBorders>
            <w:shd w:val="clear" w:color="auto" w:fill="auto"/>
          </w:tcPr>
          <w:p w14:paraId="11E79F25" w14:textId="77777777" w:rsidR="00BB4612" w:rsidRPr="00C44FBA" w:rsidRDefault="00BB4612" w:rsidP="00F72116">
            <w:pPr>
              <w:spacing w:after="160" w:line="259" w:lineRule="auto"/>
              <w:contextualSpacing/>
              <w:rPr>
                <w:sz w:val="20"/>
                <w:szCs w:val="20"/>
              </w:rPr>
            </w:pPr>
            <w:r w:rsidRPr="006E74FF">
              <w:rPr>
                <w:b/>
                <w:bCs/>
              </w:rPr>
              <w:t>EXAMPLE</w:t>
            </w:r>
            <w:r>
              <w:rPr>
                <w:b/>
                <w:bCs/>
              </w:rPr>
              <w:t>:</w:t>
            </w:r>
          </w:p>
          <w:p w14:paraId="7DD11984" w14:textId="77777777" w:rsidR="005E23AF" w:rsidRPr="00F72116" w:rsidRDefault="005E23AF" w:rsidP="00F72116">
            <w:pPr>
              <w:numPr>
                <w:ilvl w:val="1"/>
                <w:numId w:val="10"/>
              </w:numPr>
              <w:spacing w:after="160" w:line="259" w:lineRule="auto"/>
              <w:contextualSpacing/>
              <w:rPr>
                <w:sz w:val="20"/>
                <w:szCs w:val="20"/>
              </w:rPr>
            </w:pPr>
            <w:r w:rsidRPr="003448A0">
              <w:rPr>
                <w:sz w:val="20"/>
                <w:szCs w:val="20"/>
              </w:rPr>
              <w:t xml:space="preserve">Avoidance: </w:t>
            </w:r>
          </w:p>
          <w:p w14:paraId="062E26FB" w14:textId="36D1485C" w:rsidR="005E23AF" w:rsidRPr="00831A15" w:rsidRDefault="005E23AF" w:rsidP="00831A15">
            <w:pPr>
              <w:numPr>
                <w:ilvl w:val="0"/>
                <w:numId w:val="11"/>
              </w:numPr>
              <w:spacing w:after="160" w:line="259" w:lineRule="auto"/>
              <w:ind w:left="505"/>
              <w:contextualSpacing/>
              <w:rPr>
                <w:sz w:val="20"/>
                <w:szCs w:val="20"/>
              </w:rPr>
            </w:pPr>
            <w:r w:rsidRPr="003448A0">
              <w:rPr>
                <w:sz w:val="20"/>
                <w:szCs w:val="20"/>
              </w:rPr>
              <w:t>To the extent permissible during the PHE, act on changes in circumstances and process renewals</w:t>
            </w:r>
            <w:r w:rsidR="004001C7" w:rsidRPr="003448A0">
              <w:rPr>
                <w:sz w:val="20"/>
                <w:szCs w:val="20"/>
              </w:rPr>
              <w:t xml:space="preserve"> based on available information</w:t>
            </w:r>
            <w:r w:rsidRPr="003448A0">
              <w:rPr>
                <w:sz w:val="20"/>
                <w:szCs w:val="20"/>
              </w:rPr>
              <w:t>;</w:t>
            </w:r>
          </w:p>
        </w:tc>
        <w:tc>
          <w:tcPr>
            <w:tcW w:w="1980" w:type="dxa"/>
            <w:tcBorders>
              <w:bottom w:val="nil"/>
            </w:tcBorders>
            <w:shd w:val="clear" w:color="auto" w:fill="auto"/>
          </w:tcPr>
          <w:p w14:paraId="339A1F2F" w14:textId="77777777" w:rsidR="00FC2DFE" w:rsidRPr="00F72116" w:rsidRDefault="001901B9" w:rsidP="00F72116">
            <w:pPr>
              <w:spacing w:after="160" w:line="259" w:lineRule="auto"/>
              <w:contextualSpacing/>
              <w:rPr>
                <w:sz w:val="20"/>
                <w:szCs w:val="20"/>
              </w:rPr>
            </w:pPr>
            <w:r w:rsidRPr="006E74FF">
              <w:rPr>
                <w:b/>
                <w:bCs/>
              </w:rPr>
              <w:t>EXAMPLE</w:t>
            </w:r>
            <w:r>
              <w:rPr>
                <w:b/>
                <w:bCs/>
              </w:rPr>
              <w:t>:</w:t>
            </w:r>
          </w:p>
          <w:p w14:paraId="3AAB2A29" w14:textId="77777777" w:rsidR="00FC2DFE" w:rsidRPr="001901B9" w:rsidRDefault="00FC2DFE" w:rsidP="001901B9">
            <w:pPr>
              <w:rPr>
                <w:sz w:val="20"/>
                <w:szCs w:val="20"/>
              </w:rPr>
            </w:pPr>
          </w:p>
          <w:p w14:paraId="0FD9C716" w14:textId="6010EEF5" w:rsidR="002B5C30" w:rsidRPr="00831A15" w:rsidRDefault="00FC2DFE" w:rsidP="00831A15">
            <w:pPr>
              <w:pStyle w:val="ListParagraph"/>
              <w:numPr>
                <w:ilvl w:val="0"/>
                <w:numId w:val="11"/>
              </w:numPr>
              <w:ind w:left="351"/>
              <w:rPr>
                <w:sz w:val="20"/>
                <w:szCs w:val="20"/>
              </w:rPr>
            </w:pPr>
            <w:r>
              <w:rPr>
                <w:sz w:val="20"/>
                <w:szCs w:val="20"/>
              </w:rPr>
              <w:t xml:space="preserve">Relevant </w:t>
            </w:r>
            <w:r w:rsidRPr="00FF319B">
              <w:rPr>
                <w:sz w:val="20"/>
                <w:szCs w:val="20"/>
              </w:rPr>
              <w:t xml:space="preserve">agency </w:t>
            </w:r>
            <w:r>
              <w:rPr>
                <w:sz w:val="20"/>
                <w:szCs w:val="20"/>
              </w:rPr>
              <w:t>component (or person within component)</w:t>
            </w:r>
          </w:p>
        </w:tc>
        <w:tc>
          <w:tcPr>
            <w:tcW w:w="1350" w:type="dxa"/>
            <w:tcBorders>
              <w:bottom w:val="nil"/>
            </w:tcBorders>
            <w:shd w:val="clear" w:color="auto" w:fill="auto"/>
          </w:tcPr>
          <w:p w14:paraId="30B73E42" w14:textId="77777777" w:rsidR="00C45D88" w:rsidRPr="00F72116" w:rsidRDefault="001901B9" w:rsidP="00F72116">
            <w:pPr>
              <w:spacing w:after="160" w:line="259" w:lineRule="auto"/>
              <w:contextualSpacing/>
              <w:rPr>
                <w:sz w:val="20"/>
                <w:szCs w:val="20"/>
              </w:rPr>
            </w:pPr>
            <w:r w:rsidRPr="006E74FF">
              <w:rPr>
                <w:b/>
                <w:bCs/>
              </w:rPr>
              <w:t>EXAMPLE</w:t>
            </w:r>
            <w:r>
              <w:rPr>
                <w:b/>
                <w:bCs/>
              </w:rPr>
              <w:t>:</w:t>
            </w:r>
          </w:p>
          <w:p w14:paraId="00DC245A" w14:textId="77777777" w:rsidR="00C45D88" w:rsidRPr="002C321E" w:rsidRDefault="00C45D88" w:rsidP="005E23AF">
            <w:pPr>
              <w:rPr>
                <w:sz w:val="20"/>
                <w:szCs w:val="20"/>
              </w:rPr>
            </w:pPr>
          </w:p>
          <w:p w14:paraId="00CA0307" w14:textId="1BB54312" w:rsidR="002B5C30" w:rsidRPr="002C321E" w:rsidRDefault="00090123" w:rsidP="00C21140">
            <w:pPr>
              <w:rPr>
                <w:sz w:val="20"/>
                <w:szCs w:val="20"/>
              </w:rPr>
            </w:pPr>
            <w:r w:rsidRPr="002C321E">
              <w:rPr>
                <w:sz w:val="20"/>
                <w:szCs w:val="20"/>
              </w:rPr>
              <w:t>0</w:t>
            </w:r>
            <w:r w:rsidR="00AE44F2">
              <w:rPr>
                <w:sz w:val="20"/>
                <w:szCs w:val="20"/>
              </w:rPr>
              <w:t>6</w:t>
            </w:r>
            <w:r w:rsidR="00950744" w:rsidRPr="002C321E">
              <w:rPr>
                <w:sz w:val="20"/>
                <w:szCs w:val="20"/>
              </w:rPr>
              <w:t>/</w:t>
            </w:r>
            <w:r w:rsidR="00407417" w:rsidRPr="002C321E">
              <w:rPr>
                <w:sz w:val="20"/>
                <w:szCs w:val="20"/>
              </w:rPr>
              <w:t>15</w:t>
            </w:r>
            <w:r w:rsidRPr="002C321E">
              <w:rPr>
                <w:sz w:val="20"/>
                <w:szCs w:val="20"/>
              </w:rPr>
              <w:t>/2021</w:t>
            </w:r>
          </w:p>
        </w:tc>
      </w:tr>
      <w:tr w:rsidR="00831A15" w:rsidRPr="00B3064D" w14:paraId="07C8BC6E" w14:textId="77777777" w:rsidTr="00176FB4">
        <w:trPr>
          <w:cantSplit/>
          <w:trHeight w:val="1449"/>
        </w:trPr>
        <w:tc>
          <w:tcPr>
            <w:tcW w:w="555" w:type="dxa"/>
            <w:tcBorders>
              <w:top w:val="nil"/>
              <w:bottom w:val="nil"/>
            </w:tcBorders>
            <w:shd w:val="clear" w:color="auto" w:fill="auto"/>
          </w:tcPr>
          <w:p w14:paraId="49346513" w14:textId="77777777" w:rsidR="00831A15" w:rsidRDefault="00831A15" w:rsidP="005E23AF">
            <w:pPr>
              <w:rPr>
                <w:sz w:val="20"/>
                <w:szCs w:val="20"/>
              </w:rPr>
            </w:pPr>
          </w:p>
        </w:tc>
        <w:tc>
          <w:tcPr>
            <w:tcW w:w="3896" w:type="dxa"/>
            <w:tcBorders>
              <w:top w:val="nil"/>
              <w:bottom w:val="nil"/>
            </w:tcBorders>
            <w:shd w:val="clear" w:color="auto" w:fill="auto"/>
          </w:tcPr>
          <w:p w14:paraId="7A16769F" w14:textId="77777777" w:rsidR="00831A15" w:rsidRPr="00A73578" w:rsidRDefault="00831A15" w:rsidP="005E23AF">
            <w:pPr>
              <w:rPr>
                <w:sz w:val="20"/>
                <w:szCs w:val="20"/>
              </w:rPr>
            </w:pPr>
          </w:p>
        </w:tc>
        <w:tc>
          <w:tcPr>
            <w:tcW w:w="903" w:type="dxa"/>
            <w:tcBorders>
              <w:top w:val="nil"/>
              <w:bottom w:val="nil"/>
            </w:tcBorders>
            <w:shd w:val="clear" w:color="auto" w:fill="auto"/>
          </w:tcPr>
          <w:p w14:paraId="4AD1A11B" w14:textId="77777777" w:rsidR="00831A15" w:rsidRDefault="00831A15" w:rsidP="005E23AF">
            <w:pPr>
              <w:jc w:val="center"/>
              <w:rPr>
                <w:sz w:val="20"/>
                <w:szCs w:val="20"/>
              </w:rPr>
            </w:pPr>
          </w:p>
        </w:tc>
        <w:tc>
          <w:tcPr>
            <w:tcW w:w="1075" w:type="dxa"/>
            <w:tcBorders>
              <w:top w:val="nil"/>
              <w:bottom w:val="nil"/>
            </w:tcBorders>
            <w:shd w:val="clear" w:color="auto" w:fill="auto"/>
          </w:tcPr>
          <w:p w14:paraId="671E5FA6" w14:textId="77777777" w:rsidR="00831A15" w:rsidRDefault="00831A15" w:rsidP="005E23AF">
            <w:pPr>
              <w:jc w:val="center"/>
              <w:rPr>
                <w:sz w:val="20"/>
                <w:szCs w:val="20"/>
              </w:rPr>
            </w:pPr>
          </w:p>
        </w:tc>
        <w:tc>
          <w:tcPr>
            <w:tcW w:w="1062" w:type="dxa"/>
            <w:tcBorders>
              <w:top w:val="nil"/>
              <w:bottom w:val="nil"/>
            </w:tcBorders>
            <w:shd w:val="clear" w:color="auto" w:fill="auto"/>
          </w:tcPr>
          <w:p w14:paraId="13485127" w14:textId="77777777" w:rsidR="00831A15" w:rsidRDefault="00831A15" w:rsidP="005E1CA8">
            <w:pPr>
              <w:jc w:val="center"/>
              <w:rPr>
                <w:sz w:val="20"/>
                <w:szCs w:val="20"/>
              </w:rPr>
            </w:pPr>
          </w:p>
        </w:tc>
        <w:tc>
          <w:tcPr>
            <w:tcW w:w="3574" w:type="dxa"/>
            <w:tcBorders>
              <w:top w:val="nil"/>
              <w:bottom w:val="nil"/>
            </w:tcBorders>
            <w:shd w:val="clear" w:color="auto" w:fill="auto"/>
          </w:tcPr>
          <w:p w14:paraId="585E0395" w14:textId="0FFA0DFE" w:rsidR="00831A15" w:rsidRPr="006E74FF" w:rsidRDefault="00831A15" w:rsidP="00470738">
            <w:pPr>
              <w:numPr>
                <w:ilvl w:val="0"/>
                <w:numId w:val="11"/>
              </w:numPr>
              <w:spacing w:after="160" w:line="259" w:lineRule="auto"/>
              <w:ind w:left="505"/>
              <w:contextualSpacing/>
              <w:rPr>
                <w:b/>
                <w:bCs/>
              </w:rPr>
            </w:pPr>
            <w:bookmarkStart w:id="3" w:name="_Hlk63246525"/>
            <w:r w:rsidRPr="003448A0">
              <w:rPr>
                <w:sz w:val="20"/>
                <w:szCs w:val="20"/>
              </w:rPr>
              <w:t>Structure workforce tasks to focus on difficult cases that require manual review;</w:t>
            </w:r>
            <w:bookmarkEnd w:id="3"/>
          </w:p>
        </w:tc>
        <w:tc>
          <w:tcPr>
            <w:tcW w:w="1980" w:type="dxa"/>
            <w:tcBorders>
              <w:top w:val="nil"/>
              <w:bottom w:val="nil"/>
            </w:tcBorders>
            <w:shd w:val="clear" w:color="auto" w:fill="auto"/>
          </w:tcPr>
          <w:p w14:paraId="29BC50BC" w14:textId="49AAEF75" w:rsidR="00831A15" w:rsidRPr="006E74FF" w:rsidRDefault="00831A15" w:rsidP="00470738">
            <w:pPr>
              <w:numPr>
                <w:ilvl w:val="0"/>
                <w:numId w:val="11"/>
              </w:numPr>
              <w:spacing w:after="160" w:line="259" w:lineRule="auto"/>
              <w:ind w:left="505"/>
              <w:contextualSpacing/>
              <w:rPr>
                <w:b/>
                <w:bCs/>
              </w:rPr>
            </w:pPr>
            <w:r>
              <w:rPr>
                <w:sz w:val="20"/>
                <w:szCs w:val="20"/>
              </w:rPr>
              <w:t xml:space="preserve">Relevant </w:t>
            </w:r>
            <w:r w:rsidRPr="00FF319B">
              <w:rPr>
                <w:sz w:val="20"/>
                <w:szCs w:val="20"/>
              </w:rPr>
              <w:t xml:space="preserve">agency </w:t>
            </w:r>
            <w:r>
              <w:rPr>
                <w:sz w:val="20"/>
                <w:szCs w:val="20"/>
              </w:rPr>
              <w:t>component (or person within component)</w:t>
            </w:r>
          </w:p>
        </w:tc>
        <w:tc>
          <w:tcPr>
            <w:tcW w:w="1350" w:type="dxa"/>
            <w:tcBorders>
              <w:top w:val="nil"/>
              <w:bottom w:val="nil"/>
            </w:tcBorders>
            <w:shd w:val="clear" w:color="auto" w:fill="auto"/>
          </w:tcPr>
          <w:p w14:paraId="3871FB76" w14:textId="503BDAF4" w:rsidR="00831A15" w:rsidRPr="006E74FF" w:rsidRDefault="00831A15" w:rsidP="00F72116">
            <w:pPr>
              <w:contextualSpacing/>
              <w:rPr>
                <w:b/>
                <w:bCs/>
              </w:rPr>
            </w:pPr>
            <w:r w:rsidRPr="002C321E">
              <w:rPr>
                <w:sz w:val="20"/>
                <w:szCs w:val="20"/>
              </w:rPr>
              <w:t>0</w:t>
            </w:r>
            <w:r>
              <w:rPr>
                <w:sz w:val="20"/>
                <w:szCs w:val="20"/>
              </w:rPr>
              <w:t>6</w:t>
            </w:r>
            <w:r w:rsidRPr="002C321E">
              <w:rPr>
                <w:sz w:val="20"/>
                <w:szCs w:val="20"/>
              </w:rPr>
              <w:t>/15/2021</w:t>
            </w:r>
          </w:p>
        </w:tc>
      </w:tr>
      <w:tr w:rsidR="00831A15" w:rsidRPr="00B3064D" w14:paraId="6B319E5C" w14:textId="77777777" w:rsidTr="00176FB4">
        <w:trPr>
          <w:cantSplit/>
          <w:trHeight w:val="2160"/>
        </w:trPr>
        <w:tc>
          <w:tcPr>
            <w:tcW w:w="555" w:type="dxa"/>
            <w:tcBorders>
              <w:top w:val="nil"/>
              <w:bottom w:val="nil"/>
            </w:tcBorders>
            <w:shd w:val="clear" w:color="auto" w:fill="auto"/>
          </w:tcPr>
          <w:p w14:paraId="1683E765" w14:textId="77777777" w:rsidR="00831A15" w:rsidRDefault="00831A15" w:rsidP="005E23AF">
            <w:pPr>
              <w:rPr>
                <w:sz w:val="20"/>
                <w:szCs w:val="20"/>
              </w:rPr>
            </w:pPr>
          </w:p>
        </w:tc>
        <w:tc>
          <w:tcPr>
            <w:tcW w:w="3896" w:type="dxa"/>
            <w:tcBorders>
              <w:top w:val="nil"/>
              <w:bottom w:val="nil"/>
            </w:tcBorders>
            <w:shd w:val="clear" w:color="auto" w:fill="auto"/>
          </w:tcPr>
          <w:p w14:paraId="5D50DB64" w14:textId="77777777" w:rsidR="00831A15" w:rsidRPr="00A73578" w:rsidRDefault="00831A15" w:rsidP="005E23AF">
            <w:pPr>
              <w:rPr>
                <w:sz w:val="20"/>
                <w:szCs w:val="20"/>
              </w:rPr>
            </w:pPr>
          </w:p>
        </w:tc>
        <w:tc>
          <w:tcPr>
            <w:tcW w:w="903" w:type="dxa"/>
            <w:tcBorders>
              <w:top w:val="nil"/>
              <w:bottom w:val="nil"/>
            </w:tcBorders>
            <w:shd w:val="clear" w:color="auto" w:fill="auto"/>
          </w:tcPr>
          <w:p w14:paraId="01FD7308" w14:textId="77777777" w:rsidR="00831A15" w:rsidRDefault="00831A15" w:rsidP="005E23AF">
            <w:pPr>
              <w:jc w:val="center"/>
              <w:rPr>
                <w:sz w:val="20"/>
                <w:szCs w:val="20"/>
              </w:rPr>
            </w:pPr>
          </w:p>
        </w:tc>
        <w:tc>
          <w:tcPr>
            <w:tcW w:w="1075" w:type="dxa"/>
            <w:tcBorders>
              <w:top w:val="nil"/>
              <w:bottom w:val="nil"/>
            </w:tcBorders>
            <w:shd w:val="clear" w:color="auto" w:fill="auto"/>
          </w:tcPr>
          <w:p w14:paraId="7332BC5D" w14:textId="77777777" w:rsidR="00831A15" w:rsidRDefault="00831A15" w:rsidP="005E23AF">
            <w:pPr>
              <w:jc w:val="center"/>
              <w:rPr>
                <w:sz w:val="20"/>
                <w:szCs w:val="20"/>
              </w:rPr>
            </w:pPr>
          </w:p>
        </w:tc>
        <w:tc>
          <w:tcPr>
            <w:tcW w:w="1062" w:type="dxa"/>
            <w:tcBorders>
              <w:top w:val="nil"/>
              <w:bottom w:val="nil"/>
            </w:tcBorders>
            <w:shd w:val="clear" w:color="auto" w:fill="auto"/>
          </w:tcPr>
          <w:p w14:paraId="7C714068" w14:textId="77777777" w:rsidR="00831A15" w:rsidRDefault="00831A15" w:rsidP="005E1CA8">
            <w:pPr>
              <w:jc w:val="center"/>
              <w:rPr>
                <w:sz w:val="20"/>
                <w:szCs w:val="20"/>
              </w:rPr>
            </w:pPr>
          </w:p>
        </w:tc>
        <w:tc>
          <w:tcPr>
            <w:tcW w:w="3574" w:type="dxa"/>
            <w:tcBorders>
              <w:top w:val="nil"/>
              <w:bottom w:val="nil"/>
            </w:tcBorders>
            <w:shd w:val="clear" w:color="auto" w:fill="auto"/>
          </w:tcPr>
          <w:p w14:paraId="1FC0DA08" w14:textId="0DF221BB" w:rsidR="00831A15" w:rsidRPr="006E74FF" w:rsidRDefault="00831A15" w:rsidP="00470738">
            <w:pPr>
              <w:numPr>
                <w:ilvl w:val="0"/>
                <w:numId w:val="11"/>
              </w:numPr>
              <w:spacing w:after="160" w:line="259" w:lineRule="auto"/>
              <w:ind w:left="505"/>
              <w:contextualSpacing/>
              <w:rPr>
                <w:b/>
                <w:bCs/>
              </w:rPr>
            </w:pPr>
            <w:r w:rsidRPr="003448A0">
              <w:rPr>
                <w:sz w:val="20"/>
                <w:szCs w:val="20"/>
              </w:rPr>
              <w:t>If the state has sufficient information to renew eligibility when redetermining eligibility based on a change, complete the renewal and provide the beneficiary with a new 12-month (or other) eligibility period</w:t>
            </w:r>
            <w:r w:rsidR="00C25354">
              <w:rPr>
                <w:sz w:val="20"/>
                <w:szCs w:val="20"/>
              </w:rPr>
              <w:t>;</w:t>
            </w:r>
          </w:p>
        </w:tc>
        <w:tc>
          <w:tcPr>
            <w:tcW w:w="1980" w:type="dxa"/>
            <w:tcBorders>
              <w:top w:val="nil"/>
              <w:bottom w:val="nil"/>
            </w:tcBorders>
            <w:shd w:val="clear" w:color="auto" w:fill="auto"/>
          </w:tcPr>
          <w:p w14:paraId="44792F4F" w14:textId="18D314B2" w:rsidR="00831A15" w:rsidRPr="006E74FF" w:rsidRDefault="00831A15" w:rsidP="00470738">
            <w:pPr>
              <w:numPr>
                <w:ilvl w:val="0"/>
                <w:numId w:val="11"/>
              </w:numPr>
              <w:spacing w:after="160" w:line="259" w:lineRule="auto"/>
              <w:ind w:left="505"/>
              <w:contextualSpacing/>
              <w:rPr>
                <w:b/>
                <w:bCs/>
              </w:rPr>
            </w:pPr>
            <w:r>
              <w:rPr>
                <w:sz w:val="20"/>
                <w:szCs w:val="20"/>
              </w:rPr>
              <w:t xml:space="preserve">Relevant </w:t>
            </w:r>
            <w:r w:rsidRPr="00FF319B">
              <w:rPr>
                <w:sz w:val="20"/>
                <w:szCs w:val="20"/>
              </w:rPr>
              <w:t xml:space="preserve">agency </w:t>
            </w:r>
            <w:r>
              <w:rPr>
                <w:sz w:val="20"/>
                <w:szCs w:val="20"/>
              </w:rPr>
              <w:t>component (or person within component)</w:t>
            </w:r>
          </w:p>
        </w:tc>
        <w:tc>
          <w:tcPr>
            <w:tcW w:w="1350" w:type="dxa"/>
            <w:tcBorders>
              <w:top w:val="nil"/>
              <w:bottom w:val="nil"/>
            </w:tcBorders>
            <w:shd w:val="clear" w:color="auto" w:fill="auto"/>
          </w:tcPr>
          <w:p w14:paraId="7818D1B2" w14:textId="1482B830" w:rsidR="00831A15" w:rsidRPr="006E74FF" w:rsidRDefault="00831A15" w:rsidP="00F72116">
            <w:pPr>
              <w:contextualSpacing/>
              <w:rPr>
                <w:b/>
                <w:bCs/>
              </w:rPr>
            </w:pPr>
            <w:r w:rsidRPr="002C321E">
              <w:rPr>
                <w:sz w:val="20"/>
                <w:szCs w:val="20"/>
              </w:rPr>
              <w:t>0</w:t>
            </w:r>
            <w:r>
              <w:rPr>
                <w:sz w:val="20"/>
                <w:szCs w:val="20"/>
              </w:rPr>
              <w:t>6</w:t>
            </w:r>
            <w:r w:rsidRPr="002C321E">
              <w:rPr>
                <w:sz w:val="20"/>
                <w:szCs w:val="20"/>
              </w:rPr>
              <w:t>/15/2021</w:t>
            </w:r>
          </w:p>
        </w:tc>
      </w:tr>
      <w:tr w:rsidR="00831A15" w:rsidRPr="00B3064D" w14:paraId="596F89B4" w14:textId="77777777" w:rsidTr="00176FB4">
        <w:trPr>
          <w:cantSplit/>
          <w:trHeight w:val="1530"/>
        </w:trPr>
        <w:tc>
          <w:tcPr>
            <w:tcW w:w="555" w:type="dxa"/>
            <w:tcBorders>
              <w:top w:val="nil"/>
              <w:bottom w:val="nil"/>
            </w:tcBorders>
            <w:shd w:val="clear" w:color="auto" w:fill="auto"/>
          </w:tcPr>
          <w:p w14:paraId="5C8AFC5E" w14:textId="77777777" w:rsidR="00831A15" w:rsidRDefault="00831A15" w:rsidP="005E23AF">
            <w:pPr>
              <w:rPr>
                <w:sz w:val="20"/>
                <w:szCs w:val="20"/>
              </w:rPr>
            </w:pPr>
          </w:p>
        </w:tc>
        <w:tc>
          <w:tcPr>
            <w:tcW w:w="3896" w:type="dxa"/>
            <w:tcBorders>
              <w:top w:val="nil"/>
              <w:bottom w:val="nil"/>
            </w:tcBorders>
            <w:shd w:val="clear" w:color="auto" w:fill="auto"/>
          </w:tcPr>
          <w:p w14:paraId="5B008DF8" w14:textId="77777777" w:rsidR="00831A15" w:rsidRPr="00A73578" w:rsidRDefault="00831A15" w:rsidP="005E23AF">
            <w:pPr>
              <w:rPr>
                <w:sz w:val="20"/>
                <w:szCs w:val="20"/>
              </w:rPr>
            </w:pPr>
          </w:p>
        </w:tc>
        <w:tc>
          <w:tcPr>
            <w:tcW w:w="903" w:type="dxa"/>
            <w:tcBorders>
              <w:top w:val="nil"/>
              <w:bottom w:val="nil"/>
            </w:tcBorders>
            <w:shd w:val="clear" w:color="auto" w:fill="auto"/>
          </w:tcPr>
          <w:p w14:paraId="3F534B8B" w14:textId="77777777" w:rsidR="00831A15" w:rsidRDefault="00831A15" w:rsidP="005E23AF">
            <w:pPr>
              <w:jc w:val="center"/>
              <w:rPr>
                <w:sz w:val="20"/>
                <w:szCs w:val="20"/>
              </w:rPr>
            </w:pPr>
          </w:p>
        </w:tc>
        <w:tc>
          <w:tcPr>
            <w:tcW w:w="1075" w:type="dxa"/>
            <w:tcBorders>
              <w:top w:val="nil"/>
              <w:bottom w:val="nil"/>
            </w:tcBorders>
            <w:shd w:val="clear" w:color="auto" w:fill="auto"/>
          </w:tcPr>
          <w:p w14:paraId="7985F546" w14:textId="77777777" w:rsidR="00831A15" w:rsidRDefault="00831A15" w:rsidP="005E23AF">
            <w:pPr>
              <w:jc w:val="center"/>
              <w:rPr>
                <w:sz w:val="20"/>
                <w:szCs w:val="20"/>
              </w:rPr>
            </w:pPr>
          </w:p>
        </w:tc>
        <w:tc>
          <w:tcPr>
            <w:tcW w:w="1062" w:type="dxa"/>
            <w:tcBorders>
              <w:top w:val="nil"/>
              <w:bottom w:val="nil"/>
            </w:tcBorders>
            <w:shd w:val="clear" w:color="auto" w:fill="auto"/>
          </w:tcPr>
          <w:p w14:paraId="231F8035" w14:textId="77777777" w:rsidR="00831A15" w:rsidRDefault="00831A15" w:rsidP="005E1CA8">
            <w:pPr>
              <w:jc w:val="center"/>
              <w:rPr>
                <w:sz w:val="20"/>
                <w:szCs w:val="20"/>
              </w:rPr>
            </w:pPr>
          </w:p>
        </w:tc>
        <w:tc>
          <w:tcPr>
            <w:tcW w:w="3574" w:type="dxa"/>
            <w:tcBorders>
              <w:top w:val="nil"/>
              <w:bottom w:val="nil"/>
            </w:tcBorders>
            <w:shd w:val="clear" w:color="auto" w:fill="auto"/>
          </w:tcPr>
          <w:p w14:paraId="0A863BD0" w14:textId="1D04B0F1" w:rsidR="00831A15" w:rsidRPr="006E74FF" w:rsidRDefault="00831A15" w:rsidP="00470738">
            <w:pPr>
              <w:numPr>
                <w:ilvl w:val="0"/>
                <w:numId w:val="11"/>
              </w:numPr>
              <w:spacing w:after="160" w:line="259" w:lineRule="auto"/>
              <w:ind w:left="505"/>
              <w:contextualSpacing/>
              <w:rPr>
                <w:b/>
                <w:bCs/>
              </w:rPr>
            </w:pPr>
            <w:r w:rsidRPr="003448A0">
              <w:rPr>
                <w:sz w:val="20"/>
                <w:szCs w:val="20"/>
              </w:rPr>
              <w:t>Prior to the end of the PHE, Submit SPA to expand renewal timeframe for non-MAGI renewals from 6 months to 12 months</w:t>
            </w:r>
            <w:r w:rsidR="00C25354">
              <w:rPr>
                <w:sz w:val="20"/>
                <w:szCs w:val="20"/>
              </w:rPr>
              <w:t>.</w:t>
            </w:r>
          </w:p>
        </w:tc>
        <w:tc>
          <w:tcPr>
            <w:tcW w:w="1980" w:type="dxa"/>
            <w:tcBorders>
              <w:top w:val="nil"/>
              <w:bottom w:val="nil"/>
            </w:tcBorders>
            <w:shd w:val="clear" w:color="auto" w:fill="auto"/>
          </w:tcPr>
          <w:p w14:paraId="5AB143C6" w14:textId="7ADD0E05" w:rsidR="00831A15" w:rsidRPr="006E74FF" w:rsidRDefault="00831A15" w:rsidP="00470738">
            <w:pPr>
              <w:numPr>
                <w:ilvl w:val="0"/>
                <w:numId w:val="11"/>
              </w:numPr>
              <w:spacing w:after="160" w:line="259" w:lineRule="auto"/>
              <w:ind w:left="505"/>
              <w:contextualSpacing/>
              <w:rPr>
                <w:b/>
                <w:bCs/>
              </w:rPr>
            </w:pPr>
            <w:r>
              <w:rPr>
                <w:sz w:val="20"/>
                <w:szCs w:val="20"/>
              </w:rPr>
              <w:t xml:space="preserve">Relevant </w:t>
            </w:r>
            <w:r w:rsidRPr="00FF319B">
              <w:rPr>
                <w:sz w:val="20"/>
                <w:szCs w:val="20"/>
              </w:rPr>
              <w:t xml:space="preserve">agency </w:t>
            </w:r>
            <w:r>
              <w:rPr>
                <w:sz w:val="20"/>
                <w:szCs w:val="20"/>
              </w:rPr>
              <w:t>component (or person within component)</w:t>
            </w:r>
          </w:p>
        </w:tc>
        <w:tc>
          <w:tcPr>
            <w:tcW w:w="1350" w:type="dxa"/>
            <w:tcBorders>
              <w:top w:val="nil"/>
              <w:bottom w:val="nil"/>
            </w:tcBorders>
            <w:shd w:val="clear" w:color="auto" w:fill="auto"/>
          </w:tcPr>
          <w:p w14:paraId="5D81D905" w14:textId="161093F7" w:rsidR="00831A15" w:rsidRPr="006E74FF" w:rsidRDefault="00831A15" w:rsidP="00F72116">
            <w:pPr>
              <w:contextualSpacing/>
              <w:rPr>
                <w:b/>
                <w:bCs/>
              </w:rPr>
            </w:pPr>
            <w:r w:rsidRPr="002C321E">
              <w:rPr>
                <w:sz w:val="20"/>
                <w:szCs w:val="20"/>
              </w:rPr>
              <w:t>0</w:t>
            </w:r>
            <w:r>
              <w:rPr>
                <w:sz w:val="20"/>
                <w:szCs w:val="20"/>
              </w:rPr>
              <w:t>6</w:t>
            </w:r>
            <w:r w:rsidRPr="002C321E">
              <w:rPr>
                <w:sz w:val="20"/>
                <w:szCs w:val="20"/>
              </w:rPr>
              <w:t>/15/2021</w:t>
            </w:r>
          </w:p>
        </w:tc>
      </w:tr>
      <w:tr w:rsidR="00C21140" w:rsidRPr="00B3064D" w14:paraId="6FC19406" w14:textId="77777777" w:rsidTr="00C075C2">
        <w:trPr>
          <w:cantSplit/>
        </w:trPr>
        <w:tc>
          <w:tcPr>
            <w:tcW w:w="555" w:type="dxa"/>
            <w:tcBorders>
              <w:top w:val="nil"/>
            </w:tcBorders>
            <w:shd w:val="clear" w:color="auto" w:fill="auto"/>
          </w:tcPr>
          <w:p w14:paraId="1A43E310" w14:textId="77777777" w:rsidR="00C21140" w:rsidRDefault="00C21140" w:rsidP="005E23AF">
            <w:pPr>
              <w:rPr>
                <w:sz w:val="20"/>
                <w:szCs w:val="20"/>
              </w:rPr>
            </w:pPr>
          </w:p>
        </w:tc>
        <w:tc>
          <w:tcPr>
            <w:tcW w:w="3896" w:type="dxa"/>
            <w:tcBorders>
              <w:top w:val="nil"/>
            </w:tcBorders>
            <w:shd w:val="clear" w:color="auto" w:fill="auto"/>
          </w:tcPr>
          <w:p w14:paraId="396A8C9E" w14:textId="77777777" w:rsidR="00C21140" w:rsidRPr="00A73578" w:rsidRDefault="00C21140" w:rsidP="005E23AF">
            <w:pPr>
              <w:rPr>
                <w:sz w:val="20"/>
                <w:szCs w:val="20"/>
              </w:rPr>
            </w:pPr>
          </w:p>
        </w:tc>
        <w:tc>
          <w:tcPr>
            <w:tcW w:w="903" w:type="dxa"/>
            <w:tcBorders>
              <w:top w:val="nil"/>
            </w:tcBorders>
            <w:shd w:val="clear" w:color="auto" w:fill="auto"/>
          </w:tcPr>
          <w:p w14:paraId="47A15EE4" w14:textId="77777777" w:rsidR="00C21140" w:rsidRDefault="00C21140" w:rsidP="005E23AF">
            <w:pPr>
              <w:jc w:val="center"/>
              <w:rPr>
                <w:sz w:val="20"/>
                <w:szCs w:val="20"/>
              </w:rPr>
            </w:pPr>
          </w:p>
        </w:tc>
        <w:tc>
          <w:tcPr>
            <w:tcW w:w="1075" w:type="dxa"/>
            <w:tcBorders>
              <w:top w:val="nil"/>
            </w:tcBorders>
            <w:shd w:val="clear" w:color="auto" w:fill="auto"/>
          </w:tcPr>
          <w:p w14:paraId="14C23456" w14:textId="77777777" w:rsidR="00C21140" w:rsidRDefault="00C21140" w:rsidP="005E23AF">
            <w:pPr>
              <w:jc w:val="center"/>
              <w:rPr>
                <w:sz w:val="20"/>
                <w:szCs w:val="20"/>
              </w:rPr>
            </w:pPr>
          </w:p>
        </w:tc>
        <w:tc>
          <w:tcPr>
            <w:tcW w:w="1062" w:type="dxa"/>
            <w:tcBorders>
              <w:top w:val="nil"/>
            </w:tcBorders>
            <w:shd w:val="clear" w:color="auto" w:fill="auto"/>
          </w:tcPr>
          <w:p w14:paraId="795E831B" w14:textId="77777777" w:rsidR="00C21140" w:rsidRDefault="00C21140" w:rsidP="005E1CA8">
            <w:pPr>
              <w:jc w:val="center"/>
              <w:rPr>
                <w:sz w:val="20"/>
                <w:szCs w:val="20"/>
              </w:rPr>
            </w:pPr>
          </w:p>
        </w:tc>
        <w:tc>
          <w:tcPr>
            <w:tcW w:w="3574" w:type="dxa"/>
            <w:tcBorders>
              <w:top w:val="nil"/>
            </w:tcBorders>
            <w:shd w:val="clear" w:color="auto" w:fill="auto"/>
          </w:tcPr>
          <w:p w14:paraId="0E53A49A" w14:textId="77777777" w:rsidR="00C21140" w:rsidRPr="00F72116" w:rsidRDefault="00C21140" w:rsidP="00C21140">
            <w:pPr>
              <w:pStyle w:val="ListParagraph"/>
              <w:numPr>
                <w:ilvl w:val="1"/>
                <w:numId w:val="10"/>
              </w:numPr>
              <w:rPr>
                <w:sz w:val="20"/>
                <w:szCs w:val="20"/>
              </w:rPr>
            </w:pPr>
            <w:r w:rsidRPr="003448A0">
              <w:rPr>
                <w:sz w:val="20"/>
                <w:szCs w:val="20"/>
              </w:rPr>
              <w:t xml:space="preserve">Reduction: </w:t>
            </w:r>
          </w:p>
          <w:p w14:paraId="39D8A808" w14:textId="39DE5F65" w:rsidR="00C21140" w:rsidRPr="006E74FF" w:rsidRDefault="00C21140" w:rsidP="006637D7">
            <w:pPr>
              <w:numPr>
                <w:ilvl w:val="0"/>
                <w:numId w:val="11"/>
              </w:numPr>
              <w:spacing w:after="160" w:line="259" w:lineRule="auto"/>
              <w:ind w:left="505"/>
              <w:contextualSpacing/>
              <w:rPr>
                <w:b/>
                <w:bCs/>
              </w:rPr>
            </w:pPr>
            <w:r w:rsidRPr="003448A0">
              <w:rPr>
                <w:sz w:val="20"/>
                <w:szCs w:val="20"/>
              </w:rPr>
              <w:t>Use additional electronic data verification sources and consider additional verification flexibilities in order to reduce amount of outreach required for beneficiaries and improve successful ex parte renewals;</w:t>
            </w:r>
          </w:p>
        </w:tc>
        <w:tc>
          <w:tcPr>
            <w:tcW w:w="1980" w:type="dxa"/>
            <w:tcBorders>
              <w:top w:val="nil"/>
            </w:tcBorders>
            <w:shd w:val="clear" w:color="auto" w:fill="auto"/>
          </w:tcPr>
          <w:p w14:paraId="7C91F8AD" w14:textId="77777777" w:rsidR="000B1DFF" w:rsidRPr="000B1DFF" w:rsidRDefault="000B1DFF" w:rsidP="000B1DFF">
            <w:pPr>
              <w:spacing w:after="160" w:line="259" w:lineRule="auto"/>
              <w:ind w:left="505"/>
              <w:contextualSpacing/>
              <w:rPr>
                <w:b/>
                <w:bCs/>
              </w:rPr>
            </w:pPr>
          </w:p>
          <w:p w14:paraId="47B3133F" w14:textId="297B5C55" w:rsidR="00C21140" w:rsidRPr="006E74FF" w:rsidRDefault="006637D7" w:rsidP="006637D7">
            <w:pPr>
              <w:numPr>
                <w:ilvl w:val="0"/>
                <w:numId w:val="11"/>
              </w:numPr>
              <w:spacing w:after="160" w:line="259" w:lineRule="auto"/>
              <w:ind w:left="505"/>
              <w:contextualSpacing/>
              <w:rPr>
                <w:b/>
                <w:bCs/>
              </w:rPr>
            </w:pPr>
            <w:r>
              <w:rPr>
                <w:sz w:val="20"/>
                <w:szCs w:val="20"/>
              </w:rPr>
              <w:t xml:space="preserve">Relevant </w:t>
            </w:r>
            <w:r w:rsidRPr="00FF319B">
              <w:rPr>
                <w:sz w:val="20"/>
                <w:szCs w:val="20"/>
              </w:rPr>
              <w:t xml:space="preserve">agency </w:t>
            </w:r>
            <w:r>
              <w:rPr>
                <w:sz w:val="20"/>
                <w:szCs w:val="20"/>
              </w:rPr>
              <w:t>component (or person within component)</w:t>
            </w:r>
          </w:p>
        </w:tc>
        <w:tc>
          <w:tcPr>
            <w:tcW w:w="1350" w:type="dxa"/>
            <w:tcBorders>
              <w:top w:val="nil"/>
            </w:tcBorders>
            <w:shd w:val="clear" w:color="auto" w:fill="auto"/>
          </w:tcPr>
          <w:p w14:paraId="56E719FE" w14:textId="77777777" w:rsidR="000B1DFF" w:rsidRDefault="000B1DFF" w:rsidP="00F72116">
            <w:pPr>
              <w:contextualSpacing/>
              <w:rPr>
                <w:sz w:val="20"/>
                <w:szCs w:val="20"/>
              </w:rPr>
            </w:pPr>
          </w:p>
          <w:p w14:paraId="3BF637A5" w14:textId="06FDEFD9" w:rsidR="00C21140" w:rsidRPr="006E74FF" w:rsidRDefault="006637D7" w:rsidP="00F72116">
            <w:pPr>
              <w:contextualSpacing/>
              <w:rPr>
                <w:b/>
                <w:bCs/>
              </w:rPr>
            </w:pPr>
            <w:r w:rsidRPr="002C321E">
              <w:rPr>
                <w:sz w:val="20"/>
                <w:szCs w:val="20"/>
              </w:rPr>
              <w:t>Beginning ASAP post-PHE</w:t>
            </w:r>
          </w:p>
        </w:tc>
      </w:tr>
      <w:tr w:rsidR="00E91799" w:rsidRPr="00B3064D" w14:paraId="7523BEB7" w14:textId="77777777" w:rsidTr="0003752D">
        <w:trPr>
          <w:cantSplit/>
        </w:trPr>
        <w:tc>
          <w:tcPr>
            <w:tcW w:w="555" w:type="dxa"/>
            <w:shd w:val="clear" w:color="auto" w:fill="auto"/>
          </w:tcPr>
          <w:p w14:paraId="5001C70B" w14:textId="77777777" w:rsidR="00E91799" w:rsidRDefault="00E91799" w:rsidP="005E23AF">
            <w:pPr>
              <w:rPr>
                <w:sz w:val="20"/>
                <w:szCs w:val="20"/>
              </w:rPr>
            </w:pPr>
          </w:p>
        </w:tc>
        <w:tc>
          <w:tcPr>
            <w:tcW w:w="3896" w:type="dxa"/>
            <w:shd w:val="clear" w:color="auto" w:fill="auto"/>
          </w:tcPr>
          <w:p w14:paraId="6F3DD120" w14:textId="77777777" w:rsidR="00E91799" w:rsidRPr="00A73578" w:rsidRDefault="00E91799" w:rsidP="005E23AF">
            <w:pPr>
              <w:rPr>
                <w:sz w:val="20"/>
                <w:szCs w:val="20"/>
              </w:rPr>
            </w:pPr>
          </w:p>
        </w:tc>
        <w:tc>
          <w:tcPr>
            <w:tcW w:w="903" w:type="dxa"/>
            <w:shd w:val="clear" w:color="auto" w:fill="auto"/>
          </w:tcPr>
          <w:p w14:paraId="318CBA8D" w14:textId="77777777" w:rsidR="00E91799" w:rsidRDefault="00E91799" w:rsidP="005E23AF">
            <w:pPr>
              <w:jc w:val="center"/>
              <w:rPr>
                <w:sz w:val="20"/>
                <w:szCs w:val="20"/>
              </w:rPr>
            </w:pPr>
          </w:p>
        </w:tc>
        <w:tc>
          <w:tcPr>
            <w:tcW w:w="1075" w:type="dxa"/>
            <w:shd w:val="clear" w:color="auto" w:fill="auto"/>
          </w:tcPr>
          <w:p w14:paraId="7EDD8BDC" w14:textId="77777777" w:rsidR="00E91799" w:rsidRDefault="00E91799" w:rsidP="005E23AF">
            <w:pPr>
              <w:jc w:val="center"/>
              <w:rPr>
                <w:sz w:val="20"/>
                <w:szCs w:val="20"/>
              </w:rPr>
            </w:pPr>
          </w:p>
        </w:tc>
        <w:tc>
          <w:tcPr>
            <w:tcW w:w="1062" w:type="dxa"/>
            <w:shd w:val="clear" w:color="auto" w:fill="auto"/>
          </w:tcPr>
          <w:p w14:paraId="144B728E" w14:textId="77777777" w:rsidR="00E91799" w:rsidRDefault="00E91799" w:rsidP="005E1CA8">
            <w:pPr>
              <w:jc w:val="center"/>
              <w:rPr>
                <w:sz w:val="20"/>
                <w:szCs w:val="20"/>
              </w:rPr>
            </w:pPr>
          </w:p>
        </w:tc>
        <w:tc>
          <w:tcPr>
            <w:tcW w:w="3574" w:type="dxa"/>
            <w:shd w:val="clear" w:color="auto" w:fill="auto"/>
          </w:tcPr>
          <w:p w14:paraId="2D768056" w14:textId="5804D542" w:rsidR="00E91799" w:rsidRPr="00C21140" w:rsidRDefault="00C21140" w:rsidP="00C21140">
            <w:pPr>
              <w:numPr>
                <w:ilvl w:val="0"/>
                <w:numId w:val="12"/>
              </w:numPr>
              <w:spacing w:after="160" w:line="259" w:lineRule="auto"/>
              <w:ind w:left="505"/>
              <w:contextualSpacing/>
              <w:rPr>
                <w:sz w:val="20"/>
                <w:szCs w:val="20"/>
              </w:rPr>
            </w:pPr>
            <w:r w:rsidRPr="003448A0">
              <w:rPr>
                <w:sz w:val="20"/>
                <w:szCs w:val="20"/>
              </w:rPr>
              <w:t>Process renewals at highest risk for ineligibility first (i.e., individuals determined ineligible during the PHE but were never terminated d/t FFCRA, individuals who may have aged out of coverage during the PHE, or individuals who gained coverage only because of a temporary eligibility flexibility)</w:t>
            </w:r>
            <w:r w:rsidR="00C25354">
              <w:rPr>
                <w:sz w:val="20"/>
                <w:szCs w:val="20"/>
              </w:rPr>
              <w:t>.</w:t>
            </w:r>
          </w:p>
        </w:tc>
        <w:tc>
          <w:tcPr>
            <w:tcW w:w="1980" w:type="dxa"/>
            <w:shd w:val="clear" w:color="auto" w:fill="auto"/>
          </w:tcPr>
          <w:p w14:paraId="36263969" w14:textId="6BE62521" w:rsidR="00E91799" w:rsidRPr="006E74FF" w:rsidRDefault="00C21140" w:rsidP="00C21140">
            <w:pPr>
              <w:numPr>
                <w:ilvl w:val="0"/>
                <w:numId w:val="12"/>
              </w:numPr>
              <w:spacing w:after="160" w:line="259" w:lineRule="auto"/>
              <w:ind w:left="505"/>
              <w:contextualSpacing/>
              <w:rPr>
                <w:b/>
                <w:bCs/>
              </w:rPr>
            </w:pPr>
            <w:r>
              <w:rPr>
                <w:sz w:val="20"/>
                <w:szCs w:val="20"/>
              </w:rPr>
              <w:t xml:space="preserve">Relevant </w:t>
            </w:r>
            <w:r w:rsidRPr="00FF319B">
              <w:rPr>
                <w:sz w:val="20"/>
                <w:szCs w:val="20"/>
              </w:rPr>
              <w:t xml:space="preserve">agency </w:t>
            </w:r>
            <w:r>
              <w:rPr>
                <w:sz w:val="20"/>
                <w:szCs w:val="20"/>
              </w:rPr>
              <w:t>component (or person within component)</w:t>
            </w:r>
          </w:p>
        </w:tc>
        <w:tc>
          <w:tcPr>
            <w:tcW w:w="1350" w:type="dxa"/>
            <w:shd w:val="clear" w:color="auto" w:fill="auto"/>
          </w:tcPr>
          <w:p w14:paraId="737546A3" w14:textId="562484FF" w:rsidR="00E91799" w:rsidRPr="00C21140" w:rsidRDefault="00C21140" w:rsidP="00F72116">
            <w:pPr>
              <w:rPr>
                <w:sz w:val="20"/>
                <w:szCs w:val="20"/>
              </w:rPr>
            </w:pPr>
            <w:r w:rsidRPr="002C321E">
              <w:rPr>
                <w:sz w:val="20"/>
                <w:szCs w:val="20"/>
              </w:rPr>
              <w:t>Beginning ASAP post-PHE</w:t>
            </w:r>
          </w:p>
        </w:tc>
      </w:tr>
      <w:tr w:rsidR="002C321E" w:rsidRPr="00B3064D" w14:paraId="759D4B96" w14:textId="77777777" w:rsidTr="0003752D">
        <w:trPr>
          <w:cantSplit/>
        </w:trPr>
        <w:tc>
          <w:tcPr>
            <w:tcW w:w="555" w:type="dxa"/>
            <w:shd w:val="clear" w:color="auto" w:fill="auto"/>
          </w:tcPr>
          <w:p w14:paraId="7BA4525D" w14:textId="77777777" w:rsidR="005E23AF" w:rsidRPr="00B3064D" w:rsidRDefault="005E23AF" w:rsidP="005E23AF">
            <w:pPr>
              <w:rPr>
                <w:sz w:val="20"/>
                <w:szCs w:val="20"/>
              </w:rPr>
            </w:pPr>
            <w:r>
              <w:rPr>
                <w:sz w:val="20"/>
                <w:szCs w:val="20"/>
              </w:rPr>
              <w:t>2</w:t>
            </w:r>
          </w:p>
        </w:tc>
        <w:tc>
          <w:tcPr>
            <w:tcW w:w="3896" w:type="dxa"/>
            <w:shd w:val="clear" w:color="auto" w:fill="auto"/>
          </w:tcPr>
          <w:p w14:paraId="69F8AA2D" w14:textId="77777777" w:rsidR="005E23AF" w:rsidRPr="00B3064D" w:rsidRDefault="005E23AF" w:rsidP="005E23AF">
            <w:pPr>
              <w:rPr>
                <w:sz w:val="20"/>
                <w:szCs w:val="20"/>
              </w:rPr>
            </w:pPr>
          </w:p>
        </w:tc>
        <w:tc>
          <w:tcPr>
            <w:tcW w:w="903" w:type="dxa"/>
            <w:shd w:val="clear" w:color="auto" w:fill="auto"/>
          </w:tcPr>
          <w:p w14:paraId="03A56BE0" w14:textId="77777777" w:rsidR="005E23AF" w:rsidRPr="00B3064D" w:rsidRDefault="005E23AF" w:rsidP="005E23AF">
            <w:pPr>
              <w:rPr>
                <w:sz w:val="20"/>
                <w:szCs w:val="20"/>
              </w:rPr>
            </w:pPr>
          </w:p>
        </w:tc>
        <w:tc>
          <w:tcPr>
            <w:tcW w:w="1075" w:type="dxa"/>
            <w:shd w:val="clear" w:color="auto" w:fill="auto"/>
          </w:tcPr>
          <w:p w14:paraId="7C281696" w14:textId="77777777" w:rsidR="005E23AF" w:rsidRPr="00B3064D" w:rsidRDefault="005E23AF" w:rsidP="005E23AF">
            <w:pPr>
              <w:rPr>
                <w:sz w:val="20"/>
                <w:szCs w:val="20"/>
              </w:rPr>
            </w:pPr>
          </w:p>
        </w:tc>
        <w:tc>
          <w:tcPr>
            <w:tcW w:w="1062" w:type="dxa"/>
            <w:shd w:val="clear" w:color="auto" w:fill="auto"/>
          </w:tcPr>
          <w:p w14:paraId="28F76AC2" w14:textId="77777777" w:rsidR="005E23AF" w:rsidRPr="00B3064D" w:rsidRDefault="005E23AF" w:rsidP="005E23AF">
            <w:pPr>
              <w:rPr>
                <w:sz w:val="20"/>
                <w:szCs w:val="20"/>
              </w:rPr>
            </w:pPr>
          </w:p>
        </w:tc>
        <w:tc>
          <w:tcPr>
            <w:tcW w:w="3574" w:type="dxa"/>
            <w:shd w:val="clear" w:color="auto" w:fill="auto"/>
          </w:tcPr>
          <w:p w14:paraId="36C76E77" w14:textId="77777777" w:rsidR="005E23AF" w:rsidRPr="00BB4612" w:rsidRDefault="005E23AF" w:rsidP="00BB4612">
            <w:pPr>
              <w:rPr>
                <w:rFonts w:cstheme="minorHAnsi"/>
                <w:sz w:val="20"/>
                <w:szCs w:val="20"/>
              </w:rPr>
            </w:pPr>
          </w:p>
        </w:tc>
        <w:tc>
          <w:tcPr>
            <w:tcW w:w="1980" w:type="dxa"/>
            <w:shd w:val="clear" w:color="auto" w:fill="auto"/>
          </w:tcPr>
          <w:p w14:paraId="1BE5AAD7" w14:textId="77777777" w:rsidR="005E23AF" w:rsidRPr="00B3064D" w:rsidRDefault="005E23AF" w:rsidP="005E23AF">
            <w:pPr>
              <w:rPr>
                <w:sz w:val="20"/>
                <w:szCs w:val="20"/>
              </w:rPr>
            </w:pPr>
          </w:p>
        </w:tc>
        <w:tc>
          <w:tcPr>
            <w:tcW w:w="1350" w:type="dxa"/>
            <w:shd w:val="clear" w:color="auto" w:fill="auto"/>
          </w:tcPr>
          <w:p w14:paraId="54D7CB40" w14:textId="77777777" w:rsidR="005E23AF" w:rsidRPr="00B3064D" w:rsidRDefault="005E23AF" w:rsidP="005E23AF">
            <w:pPr>
              <w:rPr>
                <w:sz w:val="20"/>
                <w:szCs w:val="20"/>
              </w:rPr>
            </w:pPr>
          </w:p>
        </w:tc>
      </w:tr>
      <w:tr w:rsidR="002C321E" w:rsidRPr="00B3064D" w14:paraId="64D3474E" w14:textId="77777777" w:rsidTr="0003752D">
        <w:trPr>
          <w:cantSplit/>
        </w:trPr>
        <w:tc>
          <w:tcPr>
            <w:tcW w:w="555" w:type="dxa"/>
            <w:shd w:val="clear" w:color="auto" w:fill="auto"/>
          </w:tcPr>
          <w:p w14:paraId="2E69A491" w14:textId="77777777" w:rsidR="005E23AF" w:rsidRPr="00B3064D" w:rsidRDefault="005E23AF" w:rsidP="005E23AF">
            <w:pPr>
              <w:rPr>
                <w:sz w:val="20"/>
                <w:szCs w:val="20"/>
              </w:rPr>
            </w:pPr>
            <w:r>
              <w:rPr>
                <w:sz w:val="20"/>
                <w:szCs w:val="20"/>
              </w:rPr>
              <w:t>3</w:t>
            </w:r>
          </w:p>
        </w:tc>
        <w:tc>
          <w:tcPr>
            <w:tcW w:w="3896" w:type="dxa"/>
            <w:shd w:val="clear" w:color="auto" w:fill="auto"/>
          </w:tcPr>
          <w:p w14:paraId="25DB17E2" w14:textId="77777777" w:rsidR="005E23AF" w:rsidRPr="00B3064D" w:rsidRDefault="005E23AF" w:rsidP="005E23AF">
            <w:pPr>
              <w:rPr>
                <w:sz w:val="20"/>
                <w:szCs w:val="20"/>
              </w:rPr>
            </w:pPr>
          </w:p>
        </w:tc>
        <w:tc>
          <w:tcPr>
            <w:tcW w:w="903" w:type="dxa"/>
            <w:shd w:val="clear" w:color="auto" w:fill="auto"/>
          </w:tcPr>
          <w:p w14:paraId="612FFE55" w14:textId="77777777" w:rsidR="005E23AF" w:rsidRPr="00B3064D" w:rsidRDefault="005E23AF" w:rsidP="005E23AF">
            <w:pPr>
              <w:rPr>
                <w:sz w:val="20"/>
                <w:szCs w:val="20"/>
              </w:rPr>
            </w:pPr>
          </w:p>
        </w:tc>
        <w:tc>
          <w:tcPr>
            <w:tcW w:w="1075" w:type="dxa"/>
            <w:shd w:val="clear" w:color="auto" w:fill="auto"/>
          </w:tcPr>
          <w:p w14:paraId="093CFCCA" w14:textId="77777777" w:rsidR="005E23AF" w:rsidRPr="00B3064D" w:rsidRDefault="005E23AF" w:rsidP="005E23AF">
            <w:pPr>
              <w:rPr>
                <w:sz w:val="20"/>
                <w:szCs w:val="20"/>
              </w:rPr>
            </w:pPr>
          </w:p>
        </w:tc>
        <w:tc>
          <w:tcPr>
            <w:tcW w:w="1062" w:type="dxa"/>
            <w:shd w:val="clear" w:color="auto" w:fill="auto"/>
          </w:tcPr>
          <w:p w14:paraId="03BA992B" w14:textId="77777777" w:rsidR="005E23AF" w:rsidRPr="00B3064D" w:rsidRDefault="005E23AF" w:rsidP="005E23AF">
            <w:pPr>
              <w:rPr>
                <w:sz w:val="20"/>
                <w:szCs w:val="20"/>
              </w:rPr>
            </w:pPr>
          </w:p>
        </w:tc>
        <w:tc>
          <w:tcPr>
            <w:tcW w:w="3574" w:type="dxa"/>
            <w:shd w:val="clear" w:color="auto" w:fill="auto"/>
          </w:tcPr>
          <w:p w14:paraId="2892BA8C" w14:textId="77777777" w:rsidR="005E23AF" w:rsidRPr="00BB4612" w:rsidRDefault="005E23AF" w:rsidP="00BB4612">
            <w:pPr>
              <w:rPr>
                <w:rFonts w:cstheme="minorHAnsi"/>
                <w:sz w:val="20"/>
                <w:szCs w:val="20"/>
              </w:rPr>
            </w:pPr>
          </w:p>
        </w:tc>
        <w:tc>
          <w:tcPr>
            <w:tcW w:w="1980" w:type="dxa"/>
            <w:shd w:val="clear" w:color="auto" w:fill="auto"/>
          </w:tcPr>
          <w:p w14:paraId="200B61FB" w14:textId="77777777" w:rsidR="005E23AF" w:rsidRPr="00B3064D" w:rsidRDefault="005E23AF" w:rsidP="005E23AF">
            <w:pPr>
              <w:rPr>
                <w:sz w:val="20"/>
                <w:szCs w:val="20"/>
              </w:rPr>
            </w:pPr>
          </w:p>
        </w:tc>
        <w:tc>
          <w:tcPr>
            <w:tcW w:w="1350" w:type="dxa"/>
            <w:shd w:val="clear" w:color="auto" w:fill="auto"/>
          </w:tcPr>
          <w:p w14:paraId="6FBA9AD8" w14:textId="77777777" w:rsidR="005E23AF" w:rsidRPr="00B3064D" w:rsidRDefault="005E23AF" w:rsidP="005E23AF">
            <w:pPr>
              <w:rPr>
                <w:sz w:val="20"/>
                <w:szCs w:val="20"/>
              </w:rPr>
            </w:pPr>
          </w:p>
        </w:tc>
      </w:tr>
    </w:tbl>
    <w:p w14:paraId="18635879" w14:textId="77777777" w:rsidR="00F34D93" w:rsidRDefault="00F34D93" w:rsidP="00F34D93"/>
    <w:p w14:paraId="3645EB54" w14:textId="77777777" w:rsidR="00B3064D" w:rsidRDefault="00B3064D" w:rsidP="00F34D93">
      <w:pPr>
        <w:rPr>
          <w:b/>
          <w:bCs/>
        </w:rPr>
      </w:pPr>
      <w:r>
        <w:rPr>
          <w:b/>
          <w:bCs/>
        </w:rPr>
        <w:br w:type="page"/>
      </w:r>
    </w:p>
    <w:p w14:paraId="3361D965" w14:textId="77777777" w:rsidR="00F34D93" w:rsidRPr="00300D27" w:rsidRDefault="00F34D93" w:rsidP="007840DD">
      <w:pPr>
        <w:outlineLvl w:val="1"/>
        <w:rPr>
          <w:b/>
          <w:bCs/>
        </w:rPr>
      </w:pPr>
      <w:r w:rsidRPr="00300D27">
        <w:rPr>
          <w:b/>
          <w:bCs/>
        </w:rPr>
        <w:t xml:space="preserve">Step </w:t>
      </w:r>
      <w:r w:rsidR="00F37ACE">
        <w:rPr>
          <w:b/>
          <w:bCs/>
        </w:rPr>
        <w:t>6</w:t>
      </w:r>
      <w:r w:rsidRPr="00300D27">
        <w:rPr>
          <w:b/>
          <w:bCs/>
        </w:rPr>
        <w:t>. Document the risk profile</w:t>
      </w:r>
    </w:p>
    <w:p w14:paraId="4BDDD666" w14:textId="77777777" w:rsidR="00F34D93" w:rsidRDefault="00F34D93" w:rsidP="00687D46">
      <w:r>
        <w:t xml:space="preserve">An effective risk assessment includes documenting all findings and conclusions from the previous steps, including the analysis of the types of risks, their perceived likelihood and impact, risk tolerance, and a proposed risk response and mitigation strategies. </w:t>
      </w:r>
      <w:r w:rsidR="00441C97">
        <w:t xml:space="preserve"> </w:t>
      </w:r>
      <w:r>
        <w:t>A “risk profile,” the summation of these findings, is a critical component of the risk assessment process that helps inform the specific control activities implemented by manage</w:t>
      </w:r>
      <w:r w:rsidR="0044494C">
        <w:t>ment</w:t>
      </w:r>
      <w:r>
        <w:t>.</w:t>
      </w:r>
    </w:p>
    <w:p w14:paraId="1876F7AD" w14:textId="77777777" w:rsidR="00F34D93" w:rsidRDefault="00F34D93" w:rsidP="00687D46">
      <w:r>
        <w:t xml:space="preserve">The final format of the risk profile will likely vary. </w:t>
      </w:r>
      <w:r w:rsidR="00441C97">
        <w:t xml:space="preserve"> </w:t>
      </w:r>
      <w:r w:rsidR="00FA2250">
        <w:t>States can choose to create their own risk profile</w:t>
      </w:r>
      <w:r w:rsidR="00D227C0">
        <w:t xml:space="preserve">, or alternatively use the </w:t>
      </w:r>
      <w:r>
        <w:t xml:space="preserve">two additional supplemental templates </w:t>
      </w:r>
      <w:r w:rsidR="00D227C0">
        <w:t xml:space="preserve">provided below. </w:t>
      </w:r>
    </w:p>
    <w:p w14:paraId="27085B8D" w14:textId="77777777" w:rsidR="00F34D93" w:rsidRPr="008A37FD" w:rsidRDefault="00F34D93" w:rsidP="00687D46">
      <w:pPr>
        <w:pStyle w:val="ListParagraph"/>
        <w:numPr>
          <w:ilvl w:val="0"/>
          <w:numId w:val="2"/>
        </w:numPr>
      </w:pPr>
      <w:r>
        <w:rPr>
          <w:b/>
          <w:bCs/>
        </w:rPr>
        <w:t xml:space="preserve">Table </w:t>
      </w:r>
      <w:r w:rsidR="008E564D">
        <w:rPr>
          <w:b/>
          <w:bCs/>
        </w:rPr>
        <w:t>7</w:t>
      </w:r>
      <w:r>
        <w:rPr>
          <w:b/>
          <w:bCs/>
        </w:rPr>
        <w:t>.</w:t>
      </w:r>
      <w:r>
        <w:t xml:space="preserve"> </w:t>
      </w:r>
      <w:r w:rsidRPr="00893483">
        <w:rPr>
          <w:b/>
          <w:bCs/>
        </w:rPr>
        <w:t>Summary Profile View</w:t>
      </w:r>
      <w:r>
        <w:rPr>
          <w:b/>
          <w:bCs/>
        </w:rPr>
        <w:t xml:space="preserve">: </w:t>
      </w:r>
      <w:r w:rsidR="00441C97">
        <w:rPr>
          <w:b/>
          <w:bCs/>
        </w:rPr>
        <w:t xml:space="preserve"> </w:t>
      </w:r>
      <w:r>
        <w:t xml:space="preserve">This template provides a high-level view of each risk and </w:t>
      </w:r>
      <w:r w:rsidR="005F1690">
        <w:t>its</w:t>
      </w:r>
      <w:r>
        <w:t xml:space="preserve"> associated overall risk score, risk tolerance, prioritization, and the </w:t>
      </w:r>
      <w:r w:rsidR="004B67CA">
        <w:t>proposed mitigation strategies</w:t>
      </w:r>
      <w:r>
        <w:t xml:space="preserve"> to address each risk. </w:t>
      </w:r>
    </w:p>
    <w:p w14:paraId="06ACF071" w14:textId="77777777" w:rsidR="00F34D93" w:rsidRDefault="00F34D93" w:rsidP="00687D46">
      <w:pPr>
        <w:pStyle w:val="ListParagraph"/>
        <w:numPr>
          <w:ilvl w:val="0"/>
          <w:numId w:val="2"/>
        </w:numPr>
      </w:pPr>
      <w:r w:rsidRPr="00C6418D">
        <w:rPr>
          <w:b/>
          <w:bCs/>
        </w:rPr>
        <w:t xml:space="preserve">Table </w:t>
      </w:r>
      <w:r w:rsidR="008E564D">
        <w:rPr>
          <w:b/>
          <w:bCs/>
        </w:rPr>
        <w:t>8</w:t>
      </w:r>
      <w:r w:rsidRPr="00C6418D">
        <w:rPr>
          <w:b/>
          <w:bCs/>
        </w:rPr>
        <w:t>.</w:t>
      </w:r>
      <w:r>
        <w:t xml:space="preserve"> </w:t>
      </w:r>
      <w:r w:rsidR="002C161C">
        <w:rPr>
          <w:b/>
          <w:bCs/>
        </w:rPr>
        <w:t xml:space="preserve"> Inherent</w:t>
      </w:r>
      <w:r>
        <w:t xml:space="preserve"> </w:t>
      </w:r>
      <w:r w:rsidRPr="00300D27">
        <w:rPr>
          <w:b/>
          <w:bCs/>
        </w:rPr>
        <w:t>Risk Profile</w:t>
      </w:r>
      <w:r>
        <w:rPr>
          <w:b/>
          <w:bCs/>
        </w:rPr>
        <w:t>:</w:t>
      </w:r>
      <w:r w:rsidRPr="00C6418D">
        <w:t xml:space="preserve"> </w:t>
      </w:r>
      <w:r w:rsidR="00441C97">
        <w:t xml:space="preserve"> </w:t>
      </w:r>
      <w:r>
        <w:t>This template provides a place to compile findings and determinations from all previous steps for each inherent risk identified.</w:t>
      </w:r>
      <w:r w:rsidR="006361EE">
        <w:t xml:space="preserve"> </w:t>
      </w:r>
      <w:r>
        <w:t xml:space="preserve"> This template can be copied and pasted as many times as needed until this has been completed for all inherent risks, or as many as deemed necessary.</w:t>
      </w:r>
    </w:p>
    <w:p w14:paraId="3390C5B7" w14:textId="77777777" w:rsidR="00F34D93" w:rsidRDefault="00F34D93" w:rsidP="00F34D93">
      <w:r>
        <w:br w:type="page"/>
      </w:r>
    </w:p>
    <w:p w14:paraId="53FDCCD4" w14:textId="77777777" w:rsidR="00F34D93" w:rsidRPr="00893483" w:rsidRDefault="00F34D93" w:rsidP="00F34D93">
      <w:pPr>
        <w:rPr>
          <w:b/>
          <w:bCs/>
        </w:rPr>
      </w:pPr>
      <w:r w:rsidRPr="00893483">
        <w:rPr>
          <w:b/>
          <w:bCs/>
        </w:rPr>
        <w:t xml:space="preserve">Table </w:t>
      </w:r>
      <w:r w:rsidR="00BA2DA9">
        <w:rPr>
          <w:b/>
          <w:bCs/>
        </w:rPr>
        <w:t>7</w:t>
      </w:r>
      <w:r w:rsidRPr="00893483">
        <w:rPr>
          <w:b/>
          <w:bCs/>
        </w:rPr>
        <w:t>. Summary Profile View</w:t>
      </w:r>
    </w:p>
    <w:tbl>
      <w:tblPr>
        <w:tblStyle w:val="TableGrid"/>
        <w:tblW w:w="14395" w:type="dxa"/>
        <w:tblLook w:val="04A0" w:firstRow="1" w:lastRow="0" w:firstColumn="1" w:lastColumn="0" w:noHBand="0" w:noVBand="1"/>
        <w:tblCaption w:val="Table 7. Summary Profile View"/>
      </w:tblPr>
      <w:tblGrid>
        <w:gridCol w:w="886"/>
        <w:gridCol w:w="3879"/>
        <w:gridCol w:w="1350"/>
        <w:gridCol w:w="1350"/>
        <w:gridCol w:w="1440"/>
        <w:gridCol w:w="5490"/>
      </w:tblGrid>
      <w:tr w:rsidR="001901B9" w14:paraId="51A853A3" w14:textId="77777777" w:rsidTr="00E1425E">
        <w:trPr>
          <w:tblHeader/>
        </w:trPr>
        <w:tc>
          <w:tcPr>
            <w:tcW w:w="886" w:type="dxa"/>
            <w:shd w:val="clear" w:color="auto" w:fill="223767"/>
            <w:vAlign w:val="center"/>
          </w:tcPr>
          <w:p w14:paraId="4AA7C891" w14:textId="77777777" w:rsidR="001901B9" w:rsidRPr="00893483" w:rsidRDefault="001901B9" w:rsidP="00D23596">
            <w:pPr>
              <w:jc w:val="center"/>
              <w:rPr>
                <w:b/>
                <w:bCs/>
              </w:rPr>
            </w:pPr>
            <w:r w:rsidRPr="004B653A">
              <w:rPr>
                <w:b/>
                <w:bCs/>
                <w:sz w:val="20"/>
                <w:szCs w:val="20"/>
              </w:rPr>
              <w:t xml:space="preserve">Risk </w:t>
            </w:r>
            <w:r>
              <w:rPr>
                <w:b/>
                <w:bCs/>
              </w:rPr>
              <w:t>#</w:t>
            </w:r>
          </w:p>
        </w:tc>
        <w:tc>
          <w:tcPr>
            <w:tcW w:w="3879" w:type="dxa"/>
            <w:shd w:val="clear" w:color="auto" w:fill="223767"/>
            <w:vAlign w:val="center"/>
          </w:tcPr>
          <w:p w14:paraId="21C63D91" w14:textId="77777777" w:rsidR="001901B9" w:rsidRPr="00893483" w:rsidRDefault="001901B9" w:rsidP="00D23596">
            <w:pPr>
              <w:jc w:val="center"/>
              <w:rPr>
                <w:b/>
                <w:bCs/>
              </w:rPr>
            </w:pPr>
            <w:r w:rsidRPr="002E08BC">
              <w:rPr>
                <w:b/>
                <w:bCs/>
                <w:color w:val="FFFFFF" w:themeColor="background1"/>
                <w:sz w:val="20"/>
                <w:szCs w:val="20"/>
              </w:rPr>
              <w:t>Description of Inherent Risk</w:t>
            </w:r>
            <w:r>
              <w:rPr>
                <w:b/>
                <w:bCs/>
                <w:color w:val="FFFFFF" w:themeColor="background1"/>
                <w:sz w:val="20"/>
                <w:szCs w:val="20"/>
              </w:rPr>
              <w:t xml:space="preserve"> </w:t>
            </w:r>
            <w:r>
              <w:rPr>
                <w:b/>
                <w:bCs/>
                <w:sz w:val="20"/>
                <w:szCs w:val="20"/>
              </w:rPr>
              <w:t>(Associated Waiver/Flexibility/Requirement Number[s])</w:t>
            </w:r>
          </w:p>
        </w:tc>
        <w:tc>
          <w:tcPr>
            <w:tcW w:w="1350" w:type="dxa"/>
            <w:shd w:val="clear" w:color="auto" w:fill="223767"/>
            <w:vAlign w:val="center"/>
          </w:tcPr>
          <w:p w14:paraId="4D34A3D0" w14:textId="77777777" w:rsidR="001901B9" w:rsidRPr="004B653A" w:rsidRDefault="001901B9" w:rsidP="00D23596">
            <w:pPr>
              <w:jc w:val="center"/>
              <w:rPr>
                <w:b/>
                <w:bCs/>
                <w:sz w:val="20"/>
                <w:szCs w:val="20"/>
              </w:rPr>
            </w:pPr>
            <w:r w:rsidRPr="004B653A">
              <w:rPr>
                <w:b/>
                <w:bCs/>
                <w:sz w:val="20"/>
                <w:szCs w:val="20"/>
              </w:rPr>
              <w:t>Overall Risk Score</w:t>
            </w:r>
          </w:p>
        </w:tc>
        <w:tc>
          <w:tcPr>
            <w:tcW w:w="1350" w:type="dxa"/>
            <w:shd w:val="clear" w:color="auto" w:fill="223767"/>
            <w:vAlign w:val="center"/>
          </w:tcPr>
          <w:p w14:paraId="777D4EFB" w14:textId="77777777" w:rsidR="001901B9" w:rsidRPr="004B653A" w:rsidRDefault="001901B9" w:rsidP="00D23596">
            <w:pPr>
              <w:jc w:val="center"/>
              <w:rPr>
                <w:b/>
                <w:bCs/>
                <w:sz w:val="20"/>
                <w:szCs w:val="20"/>
              </w:rPr>
            </w:pPr>
            <w:r w:rsidRPr="004B653A">
              <w:rPr>
                <w:b/>
                <w:bCs/>
                <w:sz w:val="20"/>
                <w:szCs w:val="20"/>
              </w:rPr>
              <w:t>Risk Tolerance</w:t>
            </w:r>
          </w:p>
        </w:tc>
        <w:tc>
          <w:tcPr>
            <w:tcW w:w="1440" w:type="dxa"/>
            <w:shd w:val="clear" w:color="auto" w:fill="223767"/>
            <w:vAlign w:val="center"/>
          </w:tcPr>
          <w:p w14:paraId="1D4BED05" w14:textId="77777777" w:rsidR="001901B9" w:rsidRPr="004B653A" w:rsidRDefault="001901B9" w:rsidP="00D23596">
            <w:pPr>
              <w:jc w:val="center"/>
              <w:rPr>
                <w:b/>
                <w:bCs/>
                <w:sz w:val="20"/>
                <w:szCs w:val="20"/>
              </w:rPr>
            </w:pPr>
            <w:r w:rsidRPr="004B653A">
              <w:rPr>
                <w:b/>
                <w:bCs/>
                <w:sz w:val="20"/>
                <w:szCs w:val="20"/>
              </w:rPr>
              <w:t>Risk Prioritization</w:t>
            </w:r>
          </w:p>
        </w:tc>
        <w:tc>
          <w:tcPr>
            <w:tcW w:w="5490" w:type="dxa"/>
            <w:shd w:val="clear" w:color="auto" w:fill="223767"/>
            <w:vAlign w:val="center"/>
          </w:tcPr>
          <w:p w14:paraId="04D099C8" w14:textId="77777777" w:rsidR="001901B9" w:rsidRPr="00893483" w:rsidRDefault="001901B9" w:rsidP="00D23596">
            <w:pPr>
              <w:jc w:val="center"/>
              <w:rPr>
                <w:b/>
                <w:bCs/>
              </w:rPr>
            </w:pPr>
            <w:r w:rsidRPr="00B3064D">
              <w:rPr>
                <w:b/>
                <w:bCs/>
                <w:sz w:val="20"/>
                <w:szCs w:val="20"/>
              </w:rPr>
              <w:t>Mitigation Strategies</w:t>
            </w:r>
          </w:p>
        </w:tc>
      </w:tr>
      <w:tr w:rsidR="001901B9" w14:paraId="7ACA7F88" w14:textId="77777777" w:rsidTr="00D23596">
        <w:tc>
          <w:tcPr>
            <w:tcW w:w="886" w:type="dxa"/>
          </w:tcPr>
          <w:p w14:paraId="419D8715" w14:textId="77777777" w:rsidR="001901B9" w:rsidRDefault="001901B9" w:rsidP="001901B9">
            <w:r>
              <w:rPr>
                <w:sz w:val="20"/>
                <w:szCs w:val="20"/>
              </w:rPr>
              <w:t>1</w:t>
            </w:r>
          </w:p>
        </w:tc>
        <w:tc>
          <w:tcPr>
            <w:tcW w:w="3879" w:type="dxa"/>
          </w:tcPr>
          <w:p w14:paraId="5353F590" w14:textId="6A14E5AC" w:rsidR="001901B9" w:rsidRDefault="001901B9" w:rsidP="00437EC6">
            <w:r w:rsidRPr="006E74FF">
              <w:rPr>
                <w:b/>
                <w:bCs/>
              </w:rPr>
              <w:t>EXAMPLE</w:t>
            </w:r>
            <w:r>
              <w:rPr>
                <w:b/>
                <w:bCs/>
              </w:rPr>
              <w:t xml:space="preserve">: </w:t>
            </w:r>
            <w:r w:rsidRPr="00AF732D">
              <w:rPr>
                <w:sz w:val="20"/>
                <w:szCs w:val="20"/>
              </w:rPr>
              <w:t>Ineligible individuals remain enrolled in coverage after the permissible period</w:t>
            </w:r>
            <w:r w:rsidR="00C44FBA">
              <w:rPr>
                <w:sz w:val="20"/>
                <w:szCs w:val="20"/>
              </w:rPr>
              <w:t xml:space="preserve"> (</w:t>
            </w:r>
            <w:r w:rsidR="00A57BF1">
              <w:rPr>
                <w:sz w:val="20"/>
                <w:szCs w:val="20"/>
              </w:rPr>
              <w:t xml:space="preserve">i.e., </w:t>
            </w:r>
            <w:r w:rsidR="006F46B3">
              <w:rPr>
                <w:sz w:val="20"/>
                <w:szCs w:val="20"/>
              </w:rPr>
              <w:t>through the end of the unwinding period after the PHE ends)</w:t>
            </w:r>
            <w:r w:rsidRPr="00AF732D">
              <w:rPr>
                <w:sz w:val="20"/>
                <w:szCs w:val="20"/>
              </w:rPr>
              <w:t xml:space="preserve"> given the volume of cases to process and limited time to do so</w:t>
            </w:r>
            <w:r>
              <w:rPr>
                <w:sz w:val="20"/>
                <w:szCs w:val="20"/>
              </w:rPr>
              <w:t xml:space="preserve"> (1</w:t>
            </w:r>
            <w:r w:rsidRPr="005E1CA8">
              <w:rPr>
                <w:sz w:val="20"/>
                <w:szCs w:val="20"/>
              </w:rPr>
              <w:t>).</w:t>
            </w:r>
          </w:p>
        </w:tc>
        <w:tc>
          <w:tcPr>
            <w:tcW w:w="1350" w:type="dxa"/>
          </w:tcPr>
          <w:p w14:paraId="57007359" w14:textId="77777777" w:rsidR="001901B9" w:rsidRPr="005E1CA8" w:rsidRDefault="001901B9" w:rsidP="00D23596">
            <w:pPr>
              <w:jc w:val="center"/>
            </w:pPr>
            <w:r w:rsidRPr="005E1CA8">
              <w:rPr>
                <w:sz w:val="20"/>
                <w:szCs w:val="20"/>
              </w:rPr>
              <w:t>Medium</w:t>
            </w:r>
          </w:p>
        </w:tc>
        <w:tc>
          <w:tcPr>
            <w:tcW w:w="1350" w:type="dxa"/>
          </w:tcPr>
          <w:p w14:paraId="4755F599" w14:textId="77777777" w:rsidR="001901B9" w:rsidRPr="001901B9" w:rsidRDefault="001901B9" w:rsidP="00D23596">
            <w:pPr>
              <w:jc w:val="center"/>
              <w:rPr>
                <w:sz w:val="20"/>
                <w:szCs w:val="20"/>
              </w:rPr>
            </w:pPr>
            <w:r w:rsidRPr="001901B9">
              <w:rPr>
                <w:sz w:val="20"/>
                <w:szCs w:val="20"/>
              </w:rPr>
              <w:t>Low</w:t>
            </w:r>
          </w:p>
        </w:tc>
        <w:tc>
          <w:tcPr>
            <w:tcW w:w="1440" w:type="dxa"/>
          </w:tcPr>
          <w:p w14:paraId="47BBC75F" w14:textId="77777777" w:rsidR="001901B9" w:rsidRPr="001901B9" w:rsidRDefault="001901B9" w:rsidP="00D23596">
            <w:pPr>
              <w:jc w:val="center"/>
              <w:rPr>
                <w:sz w:val="20"/>
                <w:szCs w:val="20"/>
              </w:rPr>
            </w:pPr>
            <w:r w:rsidRPr="001901B9">
              <w:rPr>
                <w:sz w:val="20"/>
                <w:szCs w:val="20"/>
              </w:rPr>
              <w:t>High</w:t>
            </w:r>
          </w:p>
        </w:tc>
        <w:tc>
          <w:tcPr>
            <w:tcW w:w="5490" w:type="dxa"/>
          </w:tcPr>
          <w:p w14:paraId="09DC6AB8" w14:textId="77777777" w:rsidR="001901B9" w:rsidRPr="00F72116" w:rsidRDefault="001901B9" w:rsidP="00F72116">
            <w:pPr>
              <w:spacing w:after="160" w:line="259" w:lineRule="auto"/>
              <w:contextualSpacing/>
              <w:rPr>
                <w:sz w:val="20"/>
                <w:szCs w:val="20"/>
              </w:rPr>
            </w:pPr>
            <w:r w:rsidRPr="006E74FF">
              <w:rPr>
                <w:b/>
                <w:bCs/>
              </w:rPr>
              <w:t>EXAMPLE</w:t>
            </w:r>
            <w:r>
              <w:rPr>
                <w:b/>
                <w:bCs/>
              </w:rPr>
              <w:t>:</w:t>
            </w:r>
          </w:p>
          <w:p w14:paraId="67F6DB33" w14:textId="77777777" w:rsidR="001901B9" w:rsidRPr="00F72116" w:rsidRDefault="001901B9" w:rsidP="00176FB4">
            <w:pPr>
              <w:numPr>
                <w:ilvl w:val="1"/>
                <w:numId w:val="18"/>
              </w:numPr>
              <w:spacing w:after="160" w:line="259" w:lineRule="auto"/>
              <w:contextualSpacing/>
              <w:rPr>
                <w:sz w:val="20"/>
                <w:szCs w:val="20"/>
              </w:rPr>
            </w:pPr>
            <w:r w:rsidRPr="003448A0">
              <w:rPr>
                <w:sz w:val="20"/>
                <w:szCs w:val="20"/>
              </w:rPr>
              <w:t xml:space="preserve">Avoidance: </w:t>
            </w:r>
          </w:p>
          <w:p w14:paraId="044422E0" w14:textId="77777777" w:rsidR="001901B9" w:rsidRPr="00F72116" w:rsidRDefault="001901B9" w:rsidP="00F72116">
            <w:pPr>
              <w:numPr>
                <w:ilvl w:val="0"/>
                <w:numId w:val="11"/>
              </w:numPr>
              <w:spacing w:after="160" w:line="259" w:lineRule="auto"/>
              <w:ind w:left="505"/>
              <w:contextualSpacing/>
              <w:rPr>
                <w:sz w:val="20"/>
                <w:szCs w:val="20"/>
              </w:rPr>
            </w:pPr>
            <w:r w:rsidRPr="003448A0">
              <w:rPr>
                <w:sz w:val="20"/>
                <w:szCs w:val="20"/>
              </w:rPr>
              <w:t>To the extent permissible during the PHE, act on changes in circumstances and process renewals based on available information;</w:t>
            </w:r>
          </w:p>
          <w:p w14:paraId="44FA9BB4" w14:textId="77777777" w:rsidR="001901B9" w:rsidRPr="004D2262" w:rsidRDefault="001901B9" w:rsidP="001901B9">
            <w:pPr>
              <w:spacing w:after="160" w:line="259" w:lineRule="auto"/>
              <w:contextualSpacing/>
              <w:rPr>
                <w:rFonts w:cstheme="minorHAnsi"/>
                <w:sz w:val="20"/>
                <w:szCs w:val="20"/>
              </w:rPr>
            </w:pPr>
          </w:p>
          <w:p w14:paraId="5D34284C" w14:textId="77777777" w:rsidR="001901B9" w:rsidRPr="00F72116" w:rsidRDefault="001901B9" w:rsidP="00F72116">
            <w:pPr>
              <w:numPr>
                <w:ilvl w:val="0"/>
                <w:numId w:val="11"/>
              </w:numPr>
              <w:spacing w:after="160" w:line="259" w:lineRule="auto"/>
              <w:ind w:left="505"/>
              <w:contextualSpacing/>
              <w:rPr>
                <w:sz w:val="20"/>
                <w:szCs w:val="20"/>
              </w:rPr>
            </w:pPr>
            <w:r w:rsidRPr="003448A0">
              <w:rPr>
                <w:sz w:val="20"/>
                <w:szCs w:val="20"/>
              </w:rPr>
              <w:t xml:space="preserve">Structure workforce tasks to focus on difficult cases that require manual review; </w:t>
            </w:r>
          </w:p>
          <w:p w14:paraId="34FAD8A2" w14:textId="77777777" w:rsidR="001901B9" w:rsidRDefault="001901B9" w:rsidP="001901B9">
            <w:pPr>
              <w:ind w:left="514"/>
              <w:contextualSpacing/>
              <w:rPr>
                <w:rFonts w:cstheme="minorHAnsi"/>
                <w:sz w:val="20"/>
                <w:szCs w:val="20"/>
              </w:rPr>
            </w:pPr>
          </w:p>
          <w:p w14:paraId="16557D58" w14:textId="298584A6" w:rsidR="001901B9" w:rsidRPr="00F72116" w:rsidRDefault="001901B9">
            <w:pPr>
              <w:numPr>
                <w:ilvl w:val="0"/>
                <w:numId w:val="11"/>
              </w:numPr>
              <w:ind w:left="514"/>
              <w:contextualSpacing/>
              <w:rPr>
                <w:sz w:val="20"/>
                <w:szCs w:val="20"/>
              </w:rPr>
            </w:pPr>
            <w:r w:rsidRPr="003448A0">
              <w:rPr>
                <w:sz w:val="20"/>
                <w:szCs w:val="20"/>
              </w:rPr>
              <w:t>If the state has sufficient information to renew eligibility when redetermining eligibility based on a change, complete the renewal and provide the beneficiary with a new 12-month (or other) eligibility period</w:t>
            </w:r>
            <w:r w:rsidR="00C25354">
              <w:rPr>
                <w:sz w:val="20"/>
                <w:szCs w:val="20"/>
              </w:rPr>
              <w:t>;</w:t>
            </w:r>
          </w:p>
          <w:p w14:paraId="68B65F2D" w14:textId="77777777" w:rsidR="001901B9" w:rsidRDefault="001901B9" w:rsidP="001901B9">
            <w:pPr>
              <w:contextualSpacing/>
              <w:rPr>
                <w:rFonts w:cstheme="minorHAnsi"/>
                <w:sz w:val="20"/>
                <w:szCs w:val="20"/>
              </w:rPr>
            </w:pPr>
          </w:p>
          <w:p w14:paraId="376E22C1" w14:textId="5E7320B6" w:rsidR="001901B9" w:rsidRPr="00F72116" w:rsidRDefault="001901B9" w:rsidP="00F72116">
            <w:pPr>
              <w:numPr>
                <w:ilvl w:val="0"/>
                <w:numId w:val="11"/>
              </w:numPr>
              <w:spacing w:after="160" w:line="259" w:lineRule="auto"/>
              <w:ind w:left="505"/>
              <w:contextualSpacing/>
              <w:rPr>
                <w:sz w:val="20"/>
                <w:szCs w:val="20"/>
              </w:rPr>
            </w:pPr>
            <w:r w:rsidRPr="003448A0">
              <w:rPr>
                <w:sz w:val="20"/>
                <w:szCs w:val="20"/>
              </w:rPr>
              <w:t>Prior to the end of the PHE, Submit SPA to expand renewal timeframe for non-MAGI renewals from 6 months to 12 months</w:t>
            </w:r>
            <w:r w:rsidR="00C25354">
              <w:rPr>
                <w:sz w:val="20"/>
                <w:szCs w:val="20"/>
              </w:rPr>
              <w:t>.</w:t>
            </w:r>
          </w:p>
          <w:p w14:paraId="1738250D" w14:textId="77777777" w:rsidR="001901B9" w:rsidRDefault="001901B9" w:rsidP="001901B9">
            <w:pPr>
              <w:pStyle w:val="ListParagraph"/>
              <w:rPr>
                <w:rFonts w:cstheme="minorHAnsi"/>
                <w:sz w:val="20"/>
                <w:szCs w:val="20"/>
              </w:rPr>
            </w:pPr>
          </w:p>
          <w:p w14:paraId="5FF21C84" w14:textId="77777777" w:rsidR="001901B9" w:rsidRPr="00F72116" w:rsidRDefault="001901B9" w:rsidP="00176FB4">
            <w:pPr>
              <w:pStyle w:val="ListParagraph"/>
              <w:numPr>
                <w:ilvl w:val="1"/>
                <w:numId w:val="18"/>
              </w:numPr>
              <w:rPr>
                <w:sz w:val="20"/>
                <w:szCs w:val="20"/>
              </w:rPr>
            </w:pPr>
            <w:r w:rsidRPr="003448A0">
              <w:rPr>
                <w:sz w:val="20"/>
                <w:szCs w:val="20"/>
              </w:rPr>
              <w:t xml:space="preserve">Reduction: </w:t>
            </w:r>
          </w:p>
          <w:p w14:paraId="663CE804" w14:textId="77777777" w:rsidR="001901B9" w:rsidRPr="00F72116" w:rsidRDefault="001901B9" w:rsidP="00F72116">
            <w:pPr>
              <w:numPr>
                <w:ilvl w:val="0"/>
                <w:numId w:val="12"/>
              </w:numPr>
              <w:spacing w:after="160" w:line="259" w:lineRule="auto"/>
              <w:ind w:left="505"/>
              <w:contextualSpacing/>
              <w:rPr>
                <w:sz w:val="20"/>
                <w:szCs w:val="20"/>
              </w:rPr>
            </w:pPr>
            <w:r w:rsidRPr="003448A0">
              <w:rPr>
                <w:sz w:val="20"/>
                <w:szCs w:val="20"/>
              </w:rPr>
              <w:t>Use additional electronic data verification sources and consider additional verification flexibilities in order to reduce amount of outreach required for beneficiaries and improve successful ex parte renewals;</w:t>
            </w:r>
          </w:p>
          <w:p w14:paraId="499DC927" w14:textId="77777777" w:rsidR="001901B9" w:rsidRDefault="001901B9" w:rsidP="001901B9">
            <w:pPr>
              <w:spacing w:after="160" w:line="259" w:lineRule="auto"/>
              <w:ind w:left="505"/>
              <w:contextualSpacing/>
              <w:rPr>
                <w:rFonts w:cstheme="minorHAnsi"/>
                <w:sz w:val="20"/>
                <w:szCs w:val="20"/>
              </w:rPr>
            </w:pPr>
          </w:p>
          <w:p w14:paraId="453AC5FE" w14:textId="20CC7361" w:rsidR="001901B9" w:rsidRPr="00F72116" w:rsidRDefault="001901B9" w:rsidP="00F72116">
            <w:pPr>
              <w:numPr>
                <w:ilvl w:val="0"/>
                <w:numId w:val="12"/>
              </w:numPr>
              <w:spacing w:after="160" w:line="259" w:lineRule="auto"/>
              <w:ind w:left="505"/>
              <w:contextualSpacing/>
              <w:rPr>
                <w:sz w:val="20"/>
                <w:szCs w:val="20"/>
              </w:rPr>
            </w:pPr>
            <w:r w:rsidRPr="003448A0">
              <w:rPr>
                <w:sz w:val="20"/>
                <w:szCs w:val="20"/>
              </w:rPr>
              <w:t>Process renewals at highest risk for ineligibility first (i.e., individuals determined ineligible during the PHE but were never terminated d/t FFCRA, individuals who may have aged out of coverage during the PHE, or individuals who gained coverage only because of a temporary eligibility flexibility)</w:t>
            </w:r>
            <w:r w:rsidR="00C25354">
              <w:rPr>
                <w:sz w:val="20"/>
                <w:szCs w:val="20"/>
              </w:rPr>
              <w:t>.</w:t>
            </w:r>
          </w:p>
        </w:tc>
      </w:tr>
      <w:tr w:rsidR="001901B9" w14:paraId="311316F9" w14:textId="77777777" w:rsidTr="36B04788">
        <w:tc>
          <w:tcPr>
            <w:tcW w:w="886" w:type="dxa"/>
          </w:tcPr>
          <w:p w14:paraId="458B7194" w14:textId="77777777" w:rsidR="001901B9" w:rsidRPr="00553B3C" w:rsidRDefault="001901B9" w:rsidP="001901B9">
            <w:pPr>
              <w:rPr>
                <w:sz w:val="20"/>
                <w:szCs w:val="20"/>
              </w:rPr>
            </w:pPr>
            <w:r w:rsidRPr="00553B3C">
              <w:rPr>
                <w:sz w:val="20"/>
                <w:szCs w:val="20"/>
              </w:rPr>
              <w:t>2</w:t>
            </w:r>
          </w:p>
        </w:tc>
        <w:tc>
          <w:tcPr>
            <w:tcW w:w="3879" w:type="dxa"/>
          </w:tcPr>
          <w:p w14:paraId="11910745" w14:textId="77777777" w:rsidR="001901B9" w:rsidRPr="00553B3C" w:rsidRDefault="001901B9" w:rsidP="001901B9">
            <w:pPr>
              <w:rPr>
                <w:sz w:val="20"/>
                <w:szCs w:val="20"/>
              </w:rPr>
            </w:pPr>
          </w:p>
        </w:tc>
        <w:tc>
          <w:tcPr>
            <w:tcW w:w="1350" w:type="dxa"/>
          </w:tcPr>
          <w:p w14:paraId="03D0A701" w14:textId="77777777" w:rsidR="001901B9" w:rsidRPr="00553B3C" w:rsidRDefault="001901B9" w:rsidP="001901B9">
            <w:pPr>
              <w:rPr>
                <w:sz w:val="20"/>
                <w:szCs w:val="20"/>
              </w:rPr>
            </w:pPr>
          </w:p>
        </w:tc>
        <w:tc>
          <w:tcPr>
            <w:tcW w:w="1350" w:type="dxa"/>
          </w:tcPr>
          <w:p w14:paraId="76A38908" w14:textId="77777777" w:rsidR="001901B9" w:rsidRPr="00553B3C" w:rsidRDefault="001901B9" w:rsidP="001901B9">
            <w:pPr>
              <w:rPr>
                <w:sz w:val="20"/>
                <w:szCs w:val="20"/>
              </w:rPr>
            </w:pPr>
          </w:p>
        </w:tc>
        <w:tc>
          <w:tcPr>
            <w:tcW w:w="1440" w:type="dxa"/>
          </w:tcPr>
          <w:p w14:paraId="7ACCF688" w14:textId="77777777" w:rsidR="001901B9" w:rsidRPr="00553B3C" w:rsidRDefault="001901B9" w:rsidP="001901B9">
            <w:pPr>
              <w:rPr>
                <w:sz w:val="20"/>
                <w:szCs w:val="20"/>
              </w:rPr>
            </w:pPr>
          </w:p>
        </w:tc>
        <w:tc>
          <w:tcPr>
            <w:tcW w:w="5490" w:type="dxa"/>
          </w:tcPr>
          <w:p w14:paraId="241ABEB6" w14:textId="77777777" w:rsidR="001901B9" w:rsidRPr="00553B3C" w:rsidRDefault="001901B9" w:rsidP="001901B9">
            <w:pPr>
              <w:rPr>
                <w:sz w:val="20"/>
                <w:szCs w:val="20"/>
              </w:rPr>
            </w:pPr>
          </w:p>
        </w:tc>
      </w:tr>
      <w:tr w:rsidR="001901B9" w14:paraId="4AC036C6" w14:textId="77777777" w:rsidTr="36B04788">
        <w:tc>
          <w:tcPr>
            <w:tcW w:w="886" w:type="dxa"/>
          </w:tcPr>
          <w:p w14:paraId="4465138A" w14:textId="77777777" w:rsidR="001901B9" w:rsidRPr="00553B3C" w:rsidRDefault="001901B9" w:rsidP="001901B9">
            <w:pPr>
              <w:rPr>
                <w:sz w:val="20"/>
                <w:szCs w:val="20"/>
              </w:rPr>
            </w:pPr>
            <w:r w:rsidRPr="00553B3C">
              <w:rPr>
                <w:sz w:val="20"/>
                <w:szCs w:val="20"/>
              </w:rPr>
              <w:t>3</w:t>
            </w:r>
          </w:p>
        </w:tc>
        <w:tc>
          <w:tcPr>
            <w:tcW w:w="3879" w:type="dxa"/>
          </w:tcPr>
          <w:p w14:paraId="74AB811A" w14:textId="77777777" w:rsidR="001901B9" w:rsidRPr="00553B3C" w:rsidRDefault="001901B9" w:rsidP="001901B9">
            <w:pPr>
              <w:rPr>
                <w:sz w:val="20"/>
                <w:szCs w:val="20"/>
              </w:rPr>
            </w:pPr>
          </w:p>
        </w:tc>
        <w:tc>
          <w:tcPr>
            <w:tcW w:w="1350" w:type="dxa"/>
          </w:tcPr>
          <w:p w14:paraId="7284B8D4" w14:textId="77777777" w:rsidR="001901B9" w:rsidRPr="00553B3C" w:rsidRDefault="001901B9" w:rsidP="001901B9">
            <w:pPr>
              <w:rPr>
                <w:sz w:val="20"/>
                <w:szCs w:val="20"/>
              </w:rPr>
            </w:pPr>
          </w:p>
        </w:tc>
        <w:tc>
          <w:tcPr>
            <w:tcW w:w="1350" w:type="dxa"/>
          </w:tcPr>
          <w:p w14:paraId="68B39CEB" w14:textId="77777777" w:rsidR="001901B9" w:rsidRPr="00553B3C" w:rsidRDefault="001901B9" w:rsidP="001901B9">
            <w:pPr>
              <w:rPr>
                <w:sz w:val="20"/>
                <w:szCs w:val="20"/>
              </w:rPr>
            </w:pPr>
          </w:p>
        </w:tc>
        <w:tc>
          <w:tcPr>
            <w:tcW w:w="1440" w:type="dxa"/>
          </w:tcPr>
          <w:p w14:paraId="4D97BF9B" w14:textId="77777777" w:rsidR="001901B9" w:rsidRPr="00553B3C" w:rsidRDefault="001901B9" w:rsidP="001901B9">
            <w:pPr>
              <w:rPr>
                <w:sz w:val="20"/>
                <w:szCs w:val="20"/>
              </w:rPr>
            </w:pPr>
          </w:p>
        </w:tc>
        <w:tc>
          <w:tcPr>
            <w:tcW w:w="5490" w:type="dxa"/>
          </w:tcPr>
          <w:p w14:paraId="519E8E26" w14:textId="77777777" w:rsidR="001901B9" w:rsidRPr="00553B3C" w:rsidRDefault="001901B9" w:rsidP="001901B9">
            <w:pPr>
              <w:rPr>
                <w:sz w:val="20"/>
                <w:szCs w:val="20"/>
              </w:rPr>
            </w:pPr>
          </w:p>
        </w:tc>
      </w:tr>
    </w:tbl>
    <w:p w14:paraId="4B022425" w14:textId="77777777" w:rsidR="00837858" w:rsidRDefault="00837858" w:rsidP="00F34D93">
      <w:pPr>
        <w:rPr>
          <w:b/>
          <w:bCs/>
        </w:rPr>
      </w:pPr>
      <w:r>
        <w:rPr>
          <w:b/>
          <w:bCs/>
        </w:rPr>
        <w:br w:type="page"/>
      </w:r>
    </w:p>
    <w:p w14:paraId="2C316D98" w14:textId="77777777" w:rsidR="00F34D93" w:rsidRPr="00300D27" w:rsidRDefault="00F34D93" w:rsidP="00F34D93">
      <w:pPr>
        <w:rPr>
          <w:b/>
          <w:bCs/>
        </w:rPr>
      </w:pPr>
      <w:r w:rsidRPr="00300D27">
        <w:rPr>
          <w:b/>
          <w:bCs/>
        </w:rPr>
        <w:t xml:space="preserve">Table </w:t>
      </w:r>
      <w:r w:rsidR="00BA2DA9">
        <w:rPr>
          <w:b/>
          <w:bCs/>
        </w:rPr>
        <w:t>8</w:t>
      </w:r>
      <w:r w:rsidRPr="00300D27">
        <w:rPr>
          <w:b/>
          <w:bCs/>
        </w:rPr>
        <w:t xml:space="preserve">. </w:t>
      </w:r>
      <w:r>
        <w:rPr>
          <w:b/>
          <w:bCs/>
        </w:rPr>
        <w:t xml:space="preserve">Individual </w:t>
      </w:r>
      <w:r w:rsidRPr="00300D27">
        <w:rPr>
          <w:b/>
          <w:bCs/>
        </w:rPr>
        <w:t>Risk Profile</w:t>
      </w:r>
    </w:p>
    <w:tbl>
      <w:tblPr>
        <w:tblStyle w:val="TableGrid"/>
        <w:tblW w:w="14395" w:type="dxa"/>
        <w:tblLayout w:type="fixed"/>
        <w:tblLook w:val="04A0" w:firstRow="1" w:lastRow="0" w:firstColumn="1" w:lastColumn="0" w:noHBand="0" w:noVBand="1"/>
        <w:tblCaption w:val="Table 8. Individual Risk Profile"/>
      </w:tblPr>
      <w:tblGrid>
        <w:gridCol w:w="985"/>
        <w:gridCol w:w="1128"/>
        <w:gridCol w:w="2114"/>
        <w:gridCol w:w="2114"/>
        <w:gridCol w:w="2114"/>
        <w:gridCol w:w="540"/>
        <w:gridCol w:w="1890"/>
        <w:gridCol w:w="990"/>
        <w:gridCol w:w="190"/>
        <w:gridCol w:w="1162"/>
        <w:gridCol w:w="1168"/>
      </w:tblGrid>
      <w:tr w:rsidR="00F34D93" w:rsidRPr="002E08BC" w14:paraId="41066776" w14:textId="77777777" w:rsidTr="00454BD6">
        <w:trPr>
          <w:trHeight w:val="431"/>
        </w:trPr>
        <w:tc>
          <w:tcPr>
            <w:tcW w:w="14395" w:type="dxa"/>
            <w:gridSpan w:val="11"/>
            <w:tcBorders>
              <w:bottom w:val="single" w:sz="4" w:space="0" w:color="auto"/>
            </w:tcBorders>
            <w:shd w:val="clear" w:color="auto" w:fill="223767"/>
            <w:vAlign w:val="center"/>
          </w:tcPr>
          <w:p w14:paraId="7F462500" w14:textId="77777777" w:rsidR="00F34D93" w:rsidRPr="002E08BC" w:rsidRDefault="00F34D93" w:rsidP="00990EC2">
            <w:pPr>
              <w:rPr>
                <w:b/>
                <w:bCs/>
                <w:sz w:val="20"/>
                <w:szCs w:val="20"/>
              </w:rPr>
            </w:pPr>
            <w:r w:rsidRPr="002E08BC">
              <w:rPr>
                <w:b/>
                <w:bCs/>
                <w:sz w:val="20"/>
                <w:szCs w:val="20"/>
              </w:rPr>
              <w:t xml:space="preserve">Overview of Risk (Step </w:t>
            </w:r>
            <w:r w:rsidR="008C4577">
              <w:rPr>
                <w:b/>
                <w:bCs/>
                <w:sz w:val="20"/>
                <w:szCs w:val="20"/>
              </w:rPr>
              <w:t>2</w:t>
            </w:r>
            <w:r w:rsidRPr="002E08BC">
              <w:rPr>
                <w:b/>
                <w:bCs/>
                <w:sz w:val="20"/>
                <w:szCs w:val="20"/>
              </w:rPr>
              <w:t>)</w:t>
            </w:r>
          </w:p>
        </w:tc>
      </w:tr>
      <w:tr w:rsidR="005E1CA8" w:rsidRPr="002E08BC" w14:paraId="14419863" w14:textId="77777777" w:rsidTr="00454BD6">
        <w:trPr>
          <w:trHeight w:val="341"/>
        </w:trPr>
        <w:tc>
          <w:tcPr>
            <w:tcW w:w="985" w:type="dxa"/>
            <w:tcBorders>
              <w:top w:val="single" w:sz="4" w:space="0" w:color="auto"/>
              <w:left w:val="single" w:sz="4" w:space="0" w:color="auto"/>
              <w:bottom w:val="single" w:sz="4" w:space="0" w:color="auto"/>
              <w:right w:val="single" w:sz="4" w:space="0" w:color="auto"/>
            </w:tcBorders>
            <w:shd w:val="clear" w:color="auto" w:fill="0098AA"/>
            <w:vAlign w:val="center"/>
          </w:tcPr>
          <w:p w14:paraId="2DBBFA74" w14:textId="77777777" w:rsidR="005E1CA8" w:rsidRPr="002E08BC" w:rsidRDefault="005E1CA8" w:rsidP="00990EC2">
            <w:pPr>
              <w:rPr>
                <w:b/>
                <w:bCs/>
                <w:color w:val="FFFFFF" w:themeColor="background1"/>
                <w:sz w:val="20"/>
                <w:szCs w:val="20"/>
              </w:rPr>
            </w:pPr>
            <w:r w:rsidRPr="0034426B">
              <w:rPr>
                <w:b/>
                <w:bCs/>
                <w:sz w:val="20"/>
                <w:szCs w:val="20"/>
              </w:rPr>
              <w:t>Risk #</w:t>
            </w:r>
          </w:p>
        </w:tc>
        <w:tc>
          <w:tcPr>
            <w:tcW w:w="9900" w:type="dxa"/>
            <w:gridSpan w:val="6"/>
            <w:tcBorders>
              <w:top w:val="single" w:sz="4" w:space="0" w:color="auto"/>
              <w:left w:val="single" w:sz="4" w:space="0" w:color="auto"/>
              <w:bottom w:val="single" w:sz="4" w:space="0" w:color="auto"/>
              <w:right w:val="single" w:sz="4" w:space="0" w:color="auto"/>
            </w:tcBorders>
            <w:shd w:val="clear" w:color="auto" w:fill="0098AA"/>
            <w:vAlign w:val="center"/>
          </w:tcPr>
          <w:p w14:paraId="1F83ECCA" w14:textId="77777777" w:rsidR="005E1CA8" w:rsidRPr="002E08BC" w:rsidRDefault="005E1CA8" w:rsidP="00990EC2">
            <w:pPr>
              <w:rPr>
                <w:b/>
                <w:bCs/>
                <w:color w:val="FFFFFF" w:themeColor="background1"/>
                <w:sz w:val="20"/>
                <w:szCs w:val="20"/>
              </w:rPr>
            </w:pPr>
            <w:r w:rsidRPr="0034426B">
              <w:rPr>
                <w:b/>
                <w:bCs/>
                <w:sz w:val="20"/>
                <w:szCs w:val="20"/>
              </w:rPr>
              <w:t>Description of Inherent Risk (Associated Waiver/Flexibility</w:t>
            </w:r>
            <w:r w:rsidR="00687D46" w:rsidRPr="0034426B">
              <w:rPr>
                <w:b/>
                <w:bCs/>
                <w:sz w:val="20"/>
                <w:szCs w:val="20"/>
              </w:rPr>
              <w:t>/Requirement</w:t>
            </w:r>
            <w:r w:rsidRPr="0034426B">
              <w:rPr>
                <w:b/>
                <w:bCs/>
                <w:sz w:val="20"/>
                <w:szCs w:val="20"/>
              </w:rPr>
              <w:t xml:space="preserve"> Number[s])</w:t>
            </w:r>
          </w:p>
        </w:tc>
        <w:tc>
          <w:tcPr>
            <w:tcW w:w="3510" w:type="dxa"/>
            <w:gridSpan w:val="4"/>
            <w:tcBorders>
              <w:top w:val="single" w:sz="4" w:space="0" w:color="auto"/>
              <w:left w:val="single" w:sz="4" w:space="0" w:color="auto"/>
              <w:bottom w:val="single" w:sz="4" w:space="0" w:color="auto"/>
              <w:right w:val="single" w:sz="4" w:space="0" w:color="auto"/>
            </w:tcBorders>
            <w:shd w:val="clear" w:color="auto" w:fill="0098AA"/>
            <w:vAlign w:val="center"/>
          </w:tcPr>
          <w:p w14:paraId="231FC126" w14:textId="77777777" w:rsidR="005E1CA8" w:rsidRPr="002E08BC" w:rsidRDefault="005E1CA8" w:rsidP="007A04E2">
            <w:pPr>
              <w:jc w:val="center"/>
              <w:rPr>
                <w:b/>
                <w:bCs/>
                <w:color w:val="FFFFFF" w:themeColor="background1"/>
                <w:sz w:val="20"/>
                <w:szCs w:val="20"/>
              </w:rPr>
            </w:pPr>
            <w:r w:rsidRPr="0034426B">
              <w:rPr>
                <w:b/>
                <w:bCs/>
                <w:sz w:val="20"/>
                <w:szCs w:val="20"/>
              </w:rPr>
              <w:t>Category of Risk</w:t>
            </w:r>
          </w:p>
        </w:tc>
      </w:tr>
      <w:tr w:rsidR="005E1CA8" w:rsidRPr="002E08BC" w14:paraId="5592D155" w14:textId="77777777" w:rsidTr="00454BD6">
        <w:trPr>
          <w:trHeight w:val="1385"/>
        </w:trPr>
        <w:tc>
          <w:tcPr>
            <w:tcW w:w="985" w:type="dxa"/>
            <w:tcBorders>
              <w:top w:val="single" w:sz="4" w:space="0" w:color="auto"/>
            </w:tcBorders>
          </w:tcPr>
          <w:p w14:paraId="337FCFAE" w14:textId="77777777" w:rsidR="005E1CA8" w:rsidRPr="002E08BC" w:rsidRDefault="005E1CA8" w:rsidP="005E1CA8">
            <w:pPr>
              <w:rPr>
                <w:sz w:val="20"/>
                <w:szCs w:val="20"/>
              </w:rPr>
            </w:pPr>
            <w:r>
              <w:rPr>
                <w:sz w:val="20"/>
                <w:szCs w:val="20"/>
              </w:rPr>
              <w:t>1</w:t>
            </w:r>
          </w:p>
        </w:tc>
        <w:tc>
          <w:tcPr>
            <w:tcW w:w="9900" w:type="dxa"/>
            <w:gridSpan w:val="6"/>
            <w:tcBorders>
              <w:top w:val="single" w:sz="4" w:space="0" w:color="auto"/>
            </w:tcBorders>
          </w:tcPr>
          <w:p w14:paraId="494F0527" w14:textId="09E82C44" w:rsidR="005E1CA8" w:rsidRPr="002E08BC" w:rsidRDefault="005E1CA8" w:rsidP="00437EC6">
            <w:pPr>
              <w:rPr>
                <w:sz w:val="20"/>
                <w:szCs w:val="20"/>
              </w:rPr>
            </w:pPr>
            <w:r w:rsidRPr="006E74FF">
              <w:rPr>
                <w:b/>
                <w:bCs/>
              </w:rPr>
              <w:t>EXAMPLE</w:t>
            </w:r>
            <w:r>
              <w:rPr>
                <w:b/>
                <w:bCs/>
              </w:rPr>
              <w:t xml:space="preserve">: </w:t>
            </w:r>
            <w:r w:rsidRPr="00AF732D">
              <w:rPr>
                <w:sz w:val="20"/>
                <w:szCs w:val="20"/>
              </w:rPr>
              <w:t>Ineligible individuals remain enrolled in coverage after the permissible period</w:t>
            </w:r>
            <w:r w:rsidR="00C44FBA">
              <w:rPr>
                <w:sz w:val="20"/>
                <w:szCs w:val="20"/>
              </w:rPr>
              <w:t xml:space="preserve"> (</w:t>
            </w:r>
            <w:r w:rsidR="00A57BF1">
              <w:rPr>
                <w:sz w:val="20"/>
                <w:szCs w:val="20"/>
              </w:rPr>
              <w:t xml:space="preserve">i.e., </w:t>
            </w:r>
            <w:r w:rsidR="006F46B3">
              <w:rPr>
                <w:sz w:val="20"/>
                <w:szCs w:val="20"/>
              </w:rPr>
              <w:t>through the end of the unwinding period after the PHE ends)</w:t>
            </w:r>
            <w:r w:rsidRPr="00AF732D">
              <w:rPr>
                <w:sz w:val="20"/>
                <w:szCs w:val="20"/>
              </w:rPr>
              <w:t xml:space="preserve"> given the volume of cases to process and limited time to do so</w:t>
            </w:r>
            <w:r>
              <w:rPr>
                <w:sz w:val="20"/>
                <w:szCs w:val="20"/>
              </w:rPr>
              <w:t xml:space="preserve"> (</w:t>
            </w:r>
            <w:r w:rsidRPr="005E1CA8">
              <w:rPr>
                <w:sz w:val="20"/>
                <w:szCs w:val="20"/>
              </w:rPr>
              <w:t>1</w:t>
            </w:r>
            <w:r>
              <w:rPr>
                <w:sz w:val="20"/>
                <w:szCs w:val="20"/>
              </w:rPr>
              <w:t>)</w:t>
            </w:r>
            <w:r w:rsidRPr="00AF732D">
              <w:rPr>
                <w:sz w:val="20"/>
                <w:szCs w:val="20"/>
              </w:rPr>
              <w:t>.</w:t>
            </w:r>
          </w:p>
        </w:tc>
        <w:tc>
          <w:tcPr>
            <w:tcW w:w="3510" w:type="dxa"/>
            <w:gridSpan w:val="4"/>
            <w:tcBorders>
              <w:top w:val="single" w:sz="4" w:space="0" w:color="auto"/>
            </w:tcBorders>
          </w:tcPr>
          <w:p w14:paraId="778572D2" w14:textId="77777777" w:rsidR="005E1CA8" w:rsidRPr="002E08BC" w:rsidRDefault="005E1CA8" w:rsidP="005E1CA8">
            <w:pPr>
              <w:rPr>
                <w:sz w:val="20"/>
                <w:szCs w:val="20"/>
              </w:rPr>
            </w:pPr>
            <w:r w:rsidRPr="006E74FF">
              <w:rPr>
                <w:b/>
                <w:bCs/>
              </w:rPr>
              <w:t>EXAMPLE</w:t>
            </w:r>
            <w:r>
              <w:rPr>
                <w:b/>
                <w:bCs/>
              </w:rPr>
              <w:t xml:space="preserve">: </w:t>
            </w:r>
            <w:r w:rsidRPr="00AF732D">
              <w:rPr>
                <w:sz w:val="20"/>
                <w:szCs w:val="20"/>
              </w:rPr>
              <w:t xml:space="preserve">Improper continued enrollment </w:t>
            </w:r>
          </w:p>
        </w:tc>
      </w:tr>
      <w:tr w:rsidR="005E1CA8" w:rsidRPr="002E08BC" w14:paraId="42212D8F" w14:textId="77777777" w:rsidTr="00FA3F34">
        <w:trPr>
          <w:trHeight w:val="458"/>
        </w:trPr>
        <w:tc>
          <w:tcPr>
            <w:tcW w:w="10885" w:type="dxa"/>
            <w:gridSpan w:val="7"/>
            <w:shd w:val="clear" w:color="auto" w:fill="0098AA"/>
            <w:vAlign w:val="center"/>
          </w:tcPr>
          <w:p w14:paraId="7C758B35" w14:textId="77777777" w:rsidR="005E1CA8" w:rsidRPr="00D23596" w:rsidRDefault="005E1CA8" w:rsidP="007A04E2">
            <w:pPr>
              <w:jc w:val="center"/>
              <w:rPr>
                <w:sz w:val="20"/>
                <w:szCs w:val="20"/>
              </w:rPr>
            </w:pPr>
            <w:r w:rsidRPr="00D23596">
              <w:rPr>
                <w:b/>
                <w:bCs/>
                <w:sz w:val="20"/>
                <w:szCs w:val="20"/>
              </w:rPr>
              <w:t>Potential Outcomes</w:t>
            </w:r>
          </w:p>
        </w:tc>
        <w:tc>
          <w:tcPr>
            <w:tcW w:w="3510" w:type="dxa"/>
            <w:gridSpan w:val="4"/>
            <w:shd w:val="clear" w:color="auto" w:fill="0098AA"/>
            <w:vAlign w:val="center"/>
          </w:tcPr>
          <w:p w14:paraId="446A6E95" w14:textId="77777777" w:rsidR="005E1CA8" w:rsidRPr="00D23596" w:rsidRDefault="005E1CA8" w:rsidP="005E1CA8">
            <w:pPr>
              <w:jc w:val="center"/>
              <w:rPr>
                <w:b/>
                <w:bCs/>
                <w:sz w:val="20"/>
                <w:szCs w:val="20"/>
              </w:rPr>
            </w:pPr>
            <w:r w:rsidRPr="00D23596">
              <w:rPr>
                <w:b/>
                <w:bCs/>
                <w:sz w:val="20"/>
                <w:szCs w:val="20"/>
              </w:rPr>
              <w:t>Primary Source(s) of Risk</w:t>
            </w:r>
          </w:p>
        </w:tc>
      </w:tr>
      <w:tr w:rsidR="005E1CA8" w:rsidRPr="002E08BC" w14:paraId="7D530E9D" w14:textId="77777777" w:rsidTr="0034426B">
        <w:trPr>
          <w:trHeight w:val="458"/>
        </w:trPr>
        <w:tc>
          <w:tcPr>
            <w:tcW w:w="10885" w:type="dxa"/>
            <w:gridSpan w:val="7"/>
            <w:vMerge w:val="restart"/>
            <w:shd w:val="clear" w:color="auto" w:fill="auto"/>
          </w:tcPr>
          <w:p w14:paraId="0DDDA237" w14:textId="77777777" w:rsidR="005E1CA8" w:rsidRPr="00BB4612" w:rsidRDefault="005E1CA8" w:rsidP="005E1CA8">
            <w:pPr>
              <w:rPr>
                <w:sz w:val="20"/>
                <w:szCs w:val="20"/>
              </w:rPr>
            </w:pPr>
            <w:r w:rsidRPr="006E74FF">
              <w:rPr>
                <w:b/>
                <w:bCs/>
              </w:rPr>
              <w:t>EXAMPLE</w:t>
            </w:r>
            <w:r>
              <w:rPr>
                <w:b/>
                <w:bCs/>
              </w:rPr>
              <w:t>:</w:t>
            </w:r>
          </w:p>
          <w:p w14:paraId="0AA4D49A" w14:textId="77777777" w:rsidR="005E1CA8" w:rsidRDefault="005E1CA8" w:rsidP="005E1CA8">
            <w:pPr>
              <w:pStyle w:val="ListParagraph"/>
              <w:numPr>
                <w:ilvl w:val="0"/>
                <w:numId w:val="8"/>
              </w:numPr>
              <w:ind w:left="430"/>
              <w:rPr>
                <w:sz w:val="20"/>
                <w:szCs w:val="20"/>
              </w:rPr>
            </w:pPr>
            <w:r w:rsidRPr="00187FF1">
              <w:rPr>
                <w:sz w:val="20"/>
                <w:szCs w:val="20"/>
              </w:rPr>
              <w:t>Improper continued enrollment</w:t>
            </w:r>
            <w:r w:rsidR="00D227C0">
              <w:rPr>
                <w:sz w:val="20"/>
                <w:szCs w:val="20"/>
              </w:rPr>
              <w:t>, if state does not appropriately or timely redetermine eligibility based on identified changes based on change of circumstances or renewal</w:t>
            </w:r>
          </w:p>
          <w:p w14:paraId="707CC965" w14:textId="77777777" w:rsidR="005E1CA8" w:rsidRPr="005E1CA8" w:rsidRDefault="005E1CA8" w:rsidP="005E1CA8">
            <w:pPr>
              <w:pStyle w:val="ListParagraph"/>
              <w:numPr>
                <w:ilvl w:val="0"/>
                <w:numId w:val="8"/>
              </w:numPr>
              <w:ind w:left="430"/>
              <w:rPr>
                <w:sz w:val="20"/>
                <w:szCs w:val="20"/>
              </w:rPr>
            </w:pPr>
            <w:r w:rsidRPr="005E1CA8">
              <w:rPr>
                <w:sz w:val="20"/>
                <w:szCs w:val="20"/>
              </w:rPr>
              <w:t>Potential adverse audit finding</w:t>
            </w:r>
          </w:p>
        </w:tc>
        <w:tc>
          <w:tcPr>
            <w:tcW w:w="1180" w:type="dxa"/>
            <w:gridSpan w:val="2"/>
            <w:shd w:val="clear" w:color="auto" w:fill="A6A6A6" w:themeFill="background1" w:themeFillShade="A6"/>
            <w:vAlign w:val="center"/>
          </w:tcPr>
          <w:p w14:paraId="7E472365" w14:textId="77777777" w:rsidR="00B40E1A" w:rsidRPr="00454BD6" w:rsidRDefault="00B40E1A" w:rsidP="00B40E1A">
            <w:pPr>
              <w:jc w:val="center"/>
              <w:rPr>
                <w:b/>
                <w:bCs/>
                <w:color w:val="A6A6A6" w:themeColor="background1" w:themeShade="A6"/>
                <w:sz w:val="8"/>
                <w:szCs w:val="8"/>
              </w:rPr>
            </w:pPr>
            <w:r w:rsidRPr="00454BD6">
              <w:rPr>
                <w:b/>
                <w:bCs/>
                <w:color w:val="A6A6A6" w:themeColor="background1" w:themeShade="A6"/>
                <w:sz w:val="8"/>
                <w:szCs w:val="8"/>
              </w:rPr>
              <w:t>Primary Source(s) of Risk:</w:t>
            </w:r>
          </w:p>
          <w:p w14:paraId="0A25D5B4" w14:textId="77777777" w:rsidR="005E1CA8" w:rsidRPr="002E08BC" w:rsidRDefault="005E1CA8" w:rsidP="00B40E1A">
            <w:pPr>
              <w:jc w:val="center"/>
              <w:rPr>
                <w:color w:val="FFFFFF" w:themeColor="background1"/>
                <w:sz w:val="20"/>
                <w:szCs w:val="20"/>
              </w:rPr>
            </w:pPr>
            <w:r w:rsidRPr="0034426B">
              <w:rPr>
                <w:b/>
                <w:bCs/>
                <w:sz w:val="20"/>
                <w:szCs w:val="20"/>
              </w:rPr>
              <w:t>Policy</w:t>
            </w:r>
          </w:p>
        </w:tc>
        <w:tc>
          <w:tcPr>
            <w:tcW w:w="1162" w:type="dxa"/>
            <w:shd w:val="clear" w:color="auto" w:fill="A6A6A6" w:themeFill="background1" w:themeFillShade="A6"/>
            <w:vAlign w:val="center"/>
          </w:tcPr>
          <w:p w14:paraId="6883FF2E" w14:textId="77777777" w:rsidR="00B40E1A" w:rsidRPr="00454BD6" w:rsidRDefault="00B40E1A" w:rsidP="00B40E1A">
            <w:pPr>
              <w:jc w:val="center"/>
              <w:rPr>
                <w:b/>
                <w:bCs/>
                <w:color w:val="A6A6A6" w:themeColor="background1" w:themeShade="A6"/>
                <w:sz w:val="8"/>
                <w:szCs w:val="8"/>
              </w:rPr>
            </w:pPr>
            <w:r w:rsidRPr="00454BD6">
              <w:rPr>
                <w:b/>
                <w:bCs/>
                <w:color w:val="A6A6A6" w:themeColor="background1" w:themeShade="A6"/>
                <w:sz w:val="8"/>
                <w:szCs w:val="8"/>
              </w:rPr>
              <w:t>Primary Source(s) of Risk:</w:t>
            </w:r>
          </w:p>
          <w:p w14:paraId="2AE168AB" w14:textId="77777777" w:rsidR="005E1CA8" w:rsidRPr="002E08BC" w:rsidRDefault="005E1CA8" w:rsidP="00B40E1A">
            <w:pPr>
              <w:jc w:val="center"/>
              <w:rPr>
                <w:color w:val="FFFFFF" w:themeColor="background1"/>
                <w:sz w:val="20"/>
                <w:szCs w:val="20"/>
              </w:rPr>
            </w:pPr>
            <w:r w:rsidRPr="0034426B">
              <w:rPr>
                <w:b/>
                <w:bCs/>
                <w:sz w:val="20"/>
                <w:szCs w:val="20"/>
              </w:rPr>
              <w:t>Operations</w:t>
            </w:r>
          </w:p>
        </w:tc>
        <w:tc>
          <w:tcPr>
            <w:tcW w:w="1168" w:type="dxa"/>
            <w:shd w:val="clear" w:color="auto" w:fill="A6A6A6" w:themeFill="background1" w:themeFillShade="A6"/>
            <w:vAlign w:val="center"/>
          </w:tcPr>
          <w:p w14:paraId="2479439C" w14:textId="77777777" w:rsidR="00B40E1A" w:rsidRPr="00454BD6" w:rsidRDefault="00B40E1A" w:rsidP="00B40E1A">
            <w:pPr>
              <w:jc w:val="center"/>
              <w:rPr>
                <w:b/>
                <w:bCs/>
                <w:color w:val="A6A6A6" w:themeColor="background1" w:themeShade="A6"/>
                <w:sz w:val="8"/>
                <w:szCs w:val="8"/>
              </w:rPr>
            </w:pPr>
            <w:r w:rsidRPr="00454BD6">
              <w:rPr>
                <w:b/>
                <w:bCs/>
                <w:color w:val="A6A6A6" w:themeColor="background1" w:themeShade="A6"/>
                <w:sz w:val="8"/>
                <w:szCs w:val="8"/>
              </w:rPr>
              <w:t>Primary Source(s) of Risk:</w:t>
            </w:r>
          </w:p>
          <w:p w14:paraId="5B238931" w14:textId="77777777" w:rsidR="005E1CA8" w:rsidRPr="002E08BC" w:rsidRDefault="005E1CA8" w:rsidP="00B40E1A">
            <w:pPr>
              <w:jc w:val="center"/>
              <w:rPr>
                <w:color w:val="FFFFFF" w:themeColor="background1"/>
                <w:sz w:val="20"/>
                <w:szCs w:val="20"/>
              </w:rPr>
            </w:pPr>
            <w:r w:rsidRPr="0034426B">
              <w:rPr>
                <w:b/>
                <w:bCs/>
                <w:sz w:val="20"/>
                <w:szCs w:val="20"/>
              </w:rPr>
              <w:t>Processes</w:t>
            </w:r>
          </w:p>
        </w:tc>
      </w:tr>
      <w:tr w:rsidR="005E1CA8" w:rsidRPr="002E08BC" w14:paraId="0C756732" w14:textId="77777777" w:rsidTr="00FA3F34">
        <w:trPr>
          <w:trHeight w:val="1187"/>
        </w:trPr>
        <w:tc>
          <w:tcPr>
            <w:tcW w:w="10885" w:type="dxa"/>
            <w:gridSpan w:val="7"/>
            <w:vMerge/>
            <w:shd w:val="clear" w:color="auto" w:fill="auto"/>
            <w:vAlign w:val="center"/>
          </w:tcPr>
          <w:p w14:paraId="766499DD" w14:textId="77777777" w:rsidR="005E1CA8" w:rsidRPr="002E08BC" w:rsidRDefault="005E1CA8" w:rsidP="005E1CA8">
            <w:pPr>
              <w:rPr>
                <w:sz w:val="20"/>
                <w:szCs w:val="20"/>
              </w:rPr>
            </w:pPr>
          </w:p>
        </w:tc>
        <w:tc>
          <w:tcPr>
            <w:tcW w:w="1180" w:type="dxa"/>
            <w:gridSpan w:val="2"/>
            <w:shd w:val="clear" w:color="auto" w:fill="auto"/>
          </w:tcPr>
          <w:p w14:paraId="0C6FA4CE" w14:textId="77777777" w:rsidR="005E1CA8" w:rsidRPr="002E08BC" w:rsidRDefault="005E1CA8" w:rsidP="00B40E1A">
            <w:pPr>
              <w:jc w:val="center"/>
              <w:rPr>
                <w:sz w:val="20"/>
                <w:szCs w:val="20"/>
              </w:rPr>
            </w:pPr>
            <w:r>
              <w:rPr>
                <w:sz w:val="20"/>
                <w:szCs w:val="20"/>
              </w:rPr>
              <w:t>X</w:t>
            </w:r>
          </w:p>
        </w:tc>
        <w:tc>
          <w:tcPr>
            <w:tcW w:w="1162" w:type="dxa"/>
            <w:shd w:val="clear" w:color="auto" w:fill="auto"/>
          </w:tcPr>
          <w:p w14:paraId="32122D82" w14:textId="77777777" w:rsidR="005E1CA8" w:rsidRPr="002E08BC" w:rsidRDefault="005E1CA8" w:rsidP="00B40E1A">
            <w:pPr>
              <w:jc w:val="center"/>
              <w:rPr>
                <w:sz w:val="20"/>
                <w:szCs w:val="20"/>
              </w:rPr>
            </w:pPr>
            <w:r>
              <w:rPr>
                <w:sz w:val="20"/>
                <w:szCs w:val="20"/>
              </w:rPr>
              <w:t>X</w:t>
            </w:r>
          </w:p>
        </w:tc>
        <w:tc>
          <w:tcPr>
            <w:tcW w:w="1168" w:type="dxa"/>
            <w:shd w:val="clear" w:color="auto" w:fill="auto"/>
          </w:tcPr>
          <w:p w14:paraId="7E689051" w14:textId="77777777" w:rsidR="005E1CA8" w:rsidRPr="002E08BC" w:rsidRDefault="005E1CA8" w:rsidP="00B40E1A">
            <w:pPr>
              <w:jc w:val="center"/>
              <w:rPr>
                <w:sz w:val="20"/>
                <w:szCs w:val="20"/>
              </w:rPr>
            </w:pPr>
            <w:r>
              <w:rPr>
                <w:sz w:val="20"/>
                <w:szCs w:val="20"/>
              </w:rPr>
              <w:t>X</w:t>
            </w:r>
          </w:p>
        </w:tc>
      </w:tr>
      <w:tr w:rsidR="005E1CA8" w:rsidRPr="002E08BC" w14:paraId="3CE3694E" w14:textId="77777777" w:rsidTr="00FA3F34">
        <w:trPr>
          <w:trHeight w:val="449"/>
        </w:trPr>
        <w:tc>
          <w:tcPr>
            <w:tcW w:w="14395" w:type="dxa"/>
            <w:gridSpan w:val="11"/>
            <w:shd w:val="clear" w:color="auto" w:fill="223767"/>
            <w:vAlign w:val="center"/>
          </w:tcPr>
          <w:p w14:paraId="0F048EB5" w14:textId="77777777" w:rsidR="005E1CA8" w:rsidRPr="002E08BC" w:rsidRDefault="005E1CA8" w:rsidP="005E1CA8">
            <w:pPr>
              <w:rPr>
                <w:b/>
                <w:bCs/>
                <w:sz w:val="20"/>
                <w:szCs w:val="20"/>
              </w:rPr>
            </w:pPr>
            <w:r w:rsidRPr="002E08BC">
              <w:rPr>
                <w:b/>
                <w:bCs/>
                <w:sz w:val="20"/>
                <w:szCs w:val="20"/>
              </w:rPr>
              <w:t xml:space="preserve">Risk Assessment and Tolerance (Steps </w:t>
            </w:r>
            <w:r w:rsidR="00E8736D">
              <w:rPr>
                <w:b/>
                <w:bCs/>
                <w:sz w:val="20"/>
                <w:szCs w:val="20"/>
              </w:rPr>
              <w:t>3</w:t>
            </w:r>
            <w:r w:rsidRPr="002E08BC">
              <w:rPr>
                <w:b/>
                <w:bCs/>
                <w:sz w:val="20"/>
                <w:szCs w:val="20"/>
              </w:rPr>
              <w:t>-</w:t>
            </w:r>
            <w:r w:rsidR="00E8736D">
              <w:rPr>
                <w:b/>
                <w:bCs/>
                <w:sz w:val="20"/>
                <w:szCs w:val="20"/>
              </w:rPr>
              <w:t>4</w:t>
            </w:r>
            <w:r w:rsidRPr="002E08BC">
              <w:rPr>
                <w:b/>
                <w:bCs/>
                <w:sz w:val="20"/>
                <w:szCs w:val="20"/>
              </w:rPr>
              <w:t>)</w:t>
            </w:r>
          </w:p>
        </w:tc>
      </w:tr>
      <w:tr w:rsidR="005E1CA8" w:rsidRPr="002E08BC" w14:paraId="33C1B21B" w14:textId="77777777" w:rsidTr="00FA3F34">
        <w:trPr>
          <w:trHeight w:val="338"/>
        </w:trPr>
        <w:tc>
          <w:tcPr>
            <w:tcW w:w="8455" w:type="dxa"/>
            <w:gridSpan w:val="5"/>
            <w:shd w:val="clear" w:color="auto" w:fill="0098AA"/>
            <w:vAlign w:val="center"/>
          </w:tcPr>
          <w:p w14:paraId="7B4BADF9" w14:textId="77777777" w:rsidR="005E1CA8" w:rsidRPr="00D23596" w:rsidRDefault="005E1CA8" w:rsidP="005E1CA8">
            <w:pPr>
              <w:jc w:val="center"/>
              <w:rPr>
                <w:sz w:val="20"/>
                <w:szCs w:val="20"/>
              </w:rPr>
            </w:pPr>
            <w:r w:rsidRPr="00D23596">
              <w:rPr>
                <w:b/>
                <w:bCs/>
                <w:sz w:val="20"/>
                <w:szCs w:val="20"/>
              </w:rPr>
              <w:t xml:space="preserve">Inherent Risk Scoring </w:t>
            </w:r>
          </w:p>
        </w:tc>
        <w:tc>
          <w:tcPr>
            <w:tcW w:w="5940" w:type="dxa"/>
            <w:gridSpan w:val="6"/>
            <w:vMerge w:val="restart"/>
            <w:shd w:val="clear" w:color="auto" w:fill="0098AA"/>
            <w:vAlign w:val="center"/>
          </w:tcPr>
          <w:p w14:paraId="215E2517" w14:textId="77777777" w:rsidR="005E1CA8" w:rsidRPr="00D23596" w:rsidRDefault="005E1CA8" w:rsidP="005E1CA8">
            <w:pPr>
              <w:jc w:val="center"/>
              <w:rPr>
                <w:b/>
                <w:bCs/>
                <w:sz w:val="20"/>
                <w:szCs w:val="20"/>
              </w:rPr>
            </w:pPr>
            <w:r w:rsidRPr="00D23596">
              <w:rPr>
                <w:b/>
                <w:bCs/>
                <w:sz w:val="20"/>
                <w:szCs w:val="20"/>
              </w:rPr>
              <w:t xml:space="preserve">Risk Tolerance </w:t>
            </w:r>
          </w:p>
        </w:tc>
      </w:tr>
      <w:tr w:rsidR="005E1CA8" w:rsidRPr="002E08BC" w14:paraId="783EE45F" w14:textId="77777777" w:rsidTr="00454BD6">
        <w:trPr>
          <w:trHeight w:val="377"/>
        </w:trPr>
        <w:tc>
          <w:tcPr>
            <w:tcW w:w="2113" w:type="dxa"/>
            <w:gridSpan w:val="2"/>
            <w:shd w:val="clear" w:color="auto" w:fill="A6A6A6" w:themeFill="background1" w:themeFillShade="A6"/>
            <w:vAlign w:val="center"/>
          </w:tcPr>
          <w:p w14:paraId="28DA8BFA" w14:textId="77777777" w:rsidR="00B40E1A" w:rsidRPr="00454BD6" w:rsidRDefault="00B40E1A" w:rsidP="005E1CA8">
            <w:pPr>
              <w:jc w:val="center"/>
              <w:rPr>
                <w:b/>
                <w:bCs/>
                <w:color w:val="A6A6A6" w:themeColor="background1" w:themeShade="A6"/>
                <w:sz w:val="8"/>
                <w:szCs w:val="8"/>
              </w:rPr>
            </w:pPr>
            <w:r w:rsidRPr="00454BD6">
              <w:rPr>
                <w:b/>
                <w:bCs/>
                <w:color w:val="A6A6A6" w:themeColor="background1" w:themeShade="A6"/>
                <w:sz w:val="8"/>
                <w:szCs w:val="8"/>
              </w:rPr>
              <w:t>Inherent Risk Scoring</w:t>
            </w:r>
          </w:p>
          <w:p w14:paraId="6338CB50" w14:textId="77777777" w:rsidR="005E1CA8" w:rsidRPr="002E08BC" w:rsidRDefault="005E1CA8" w:rsidP="005E1CA8">
            <w:pPr>
              <w:jc w:val="center"/>
              <w:rPr>
                <w:b/>
                <w:bCs/>
                <w:color w:val="FFFFFF" w:themeColor="background1"/>
                <w:sz w:val="20"/>
                <w:szCs w:val="20"/>
              </w:rPr>
            </w:pPr>
            <w:r w:rsidRPr="0034426B">
              <w:rPr>
                <w:b/>
                <w:bCs/>
                <w:sz w:val="20"/>
                <w:szCs w:val="20"/>
              </w:rPr>
              <w:t>Likelihood</w:t>
            </w:r>
          </w:p>
        </w:tc>
        <w:tc>
          <w:tcPr>
            <w:tcW w:w="2114" w:type="dxa"/>
            <w:shd w:val="clear" w:color="auto" w:fill="A6A6A6" w:themeFill="background1" w:themeFillShade="A6"/>
            <w:vAlign w:val="center"/>
          </w:tcPr>
          <w:p w14:paraId="14DC9F92" w14:textId="77777777" w:rsidR="00B40E1A" w:rsidRPr="00454BD6" w:rsidRDefault="00B40E1A" w:rsidP="00B40E1A">
            <w:pPr>
              <w:jc w:val="center"/>
              <w:rPr>
                <w:b/>
                <w:bCs/>
                <w:color w:val="A6A6A6" w:themeColor="background1" w:themeShade="A6"/>
                <w:sz w:val="8"/>
                <w:szCs w:val="8"/>
              </w:rPr>
            </w:pPr>
            <w:r w:rsidRPr="00454BD6">
              <w:rPr>
                <w:b/>
                <w:bCs/>
                <w:color w:val="A6A6A6" w:themeColor="background1" w:themeShade="A6"/>
                <w:sz w:val="8"/>
                <w:szCs w:val="8"/>
              </w:rPr>
              <w:t>Inherent Risk Scoring</w:t>
            </w:r>
          </w:p>
          <w:p w14:paraId="6EE25FE7" w14:textId="77777777" w:rsidR="005E1CA8" w:rsidRPr="002E08BC" w:rsidRDefault="005E1CA8" w:rsidP="00B40E1A">
            <w:pPr>
              <w:jc w:val="center"/>
              <w:rPr>
                <w:b/>
                <w:bCs/>
                <w:color w:val="FFFFFF" w:themeColor="background1"/>
                <w:sz w:val="20"/>
                <w:szCs w:val="20"/>
              </w:rPr>
            </w:pPr>
            <w:r w:rsidRPr="0034426B">
              <w:rPr>
                <w:b/>
                <w:bCs/>
                <w:sz w:val="20"/>
                <w:szCs w:val="20"/>
              </w:rPr>
              <w:t>Harm</w:t>
            </w:r>
          </w:p>
        </w:tc>
        <w:tc>
          <w:tcPr>
            <w:tcW w:w="2114" w:type="dxa"/>
            <w:shd w:val="clear" w:color="auto" w:fill="A6A6A6" w:themeFill="background1" w:themeFillShade="A6"/>
            <w:vAlign w:val="center"/>
          </w:tcPr>
          <w:p w14:paraId="7D862623" w14:textId="77777777" w:rsidR="00B40E1A" w:rsidRPr="00454BD6" w:rsidRDefault="00B40E1A" w:rsidP="00B40E1A">
            <w:pPr>
              <w:jc w:val="center"/>
              <w:rPr>
                <w:b/>
                <w:bCs/>
                <w:color w:val="A6A6A6" w:themeColor="background1" w:themeShade="A6"/>
                <w:sz w:val="8"/>
                <w:szCs w:val="8"/>
              </w:rPr>
            </w:pPr>
            <w:r w:rsidRPr="00454BD6">
              <w:rPr>
                <w:b/>
                <w:bCs/>
                <w:color w:val="A6A6A6" w:themeColor="background1" w:themeShade="A6"/>
                <w:sz w:val="8"/>
                <w:szCs w:val="8"/>
              </w:rPr>
              <w:t>Inherent Risk Scoring</w:t>
            </w:r>
          </w:p>
          <w:p w14:paraId="1E720B6C" w14:textId="77777777" w:rsidR="005E1CA8" w:rsidRPr="002E08BC" w:rsidRDefault="005E1CA8" w:rsidP="00B40E1A">
            <w:pPr>
              <w:jc w:val="center"/>
              <w:rPr>
                <w:b/>
                <w:bCs/>
                <w:color w:val="FFFFFF" w:themeColor="background1"/>
                <w:sz w:val="20"/>
                <w:szCs w:val="20"/>
              </w:rPr>
            </w:pPr>
            <w:r w:rsidRPr="0034426B">
              <w:rPr>
                <w:b/>
                <w:bCs/>
                <w:sz w:val="20"/>
                <w:szCs w:val="20"/>
              </w:rPr>
              <w:t>Dollars</w:t>
            </w:r>
          </w:p>
        </w:tc>
        <w:tc>
          <w:tcPr>
            <w:tcW w:w="2114" w:type="dxa"/>
            <w:shd w:val="clear" w:color="auto" w:fill="A6A6A6" w:themeFill="background1" w:themeFillShade="A6"/>
            <w:vAlign w:val="center"/>
          </w:tcPr>
          <w:p w14:paraId="182CE7B5" w14:textId="77777777" w:rsidR="00B40E1A" w:rsidRPr="00454BD6" w:rsidRDefault="00B40E1A" w:rsidP="00B40E1A">
            <w:pPr>
              <w:jc w:val="center"/>
              <w:rPr>
                <w:b/>
                <w:bCs/>
                <w:color w:val="A6A6A6" w:themeColor="background1" w:themeShade="A6"/>
                <w:sz w:val="8"/>
                <w:szCs w:val="8"/>
              </w:rPr>
            </w:pPr>
            <w:r w:rsidRPr="00454BD6">
              <w:rPr>
                <w:b/>
                <w:bCs/>
                <w:color w:val="A6A6A6" w:themeColor="background1" w:themeShade="A6"/>
                <w:sz w:val="8"/>
                <w:szCs w:val="8"/>
              </w:rPr>
              <w:t>Inherent Risk Scoring</w:t>
            </w:r>
          </w:p>
          <w:p w14:paraId="0DC1CA72" w14:textId="77777777" w:rsidR="005E1CA8" w:rsidRPr="002E08BC" w:rsidRDefault="005E1CA8" w:rsidP="00B40E1A">
            <w:pPr>
              <w:jc w:val="center"/>
              <w:rPr>
                <w:b/>
                <w:bCs/>
                <w:color w:val="FFFFFF" w:themeColor="background1"/>
                <w:sz w:val="20"/>
                <w:szCs w:val="20"/>
              </w:rPr>
            </w:pPr>
            <w:r w:rsidRPr="0034426B">
              <w:rPr>
                <w:b/>
                <w:bCs/>
                <w:sz w:val="20"/>
                <w:szCs w:val="20"/>
              </w:rPr>
              <w:t>Overall</w:t>
            </w:r>
          </w:p>
        </w:tc>
        <w:tc>
          <w:tcPr>
            <w:tcW w:w="5940" w:type="dxa"/>
            <w:gridSpan w:val="6"/>
            <w:vMerge/>
            <w:shd w:val="clear" w:color="auto" w:fill="0098AA"/>
          </w:tcPr>
          <w:p w14:paraId="5E803A06" w14:textId="77777777" w:rsidR="005E1CA8" w:rsidRPr="002E08BC" w:rsidRDefault="005E1CA8" w:rsidP="005E1CA8">
            <w:pPr>
              <w:rPr>
                <w:sz w:val="20"/>
                <w:szCs w:val="20"/>
              </w:rPr>
            </w:pPr>
          </w:p>
        </w:tc>
      </w:tr>
      <w:tr w:rsidR="005E1CA8" w:rsidRPr="002E08BC" w14:paraId="3B3C2BBA" w14:textId="77777777" w:rsidTr="00FA3F34">
        <w:trPr>
          <w:trHeight w:val="629"/>
        </w:trPr>
        <w:tc>
          <w:tcPr>
            <w:tcW w:w="2113" w:type="dxa"/>
            <w:gridSpan w:val="2"/>
          </w:tcPr>
          <w:p w14:paraId="1FCC1BCE" w14:textId="77777777" w:rsidR="005E1CA8" w:rsidRPr="005E1CA8" w:rsidRDefault="005E1CA8" w:rsidP="005E1CA8">
            <w:pPr>
              <w:jc w:val="center"/>
              <w:rPr>
                <w:sz w:val="20"/>
                <w:szCs w:val="20"/>
              </w:rPr>
            </w:pPr>
            <w:r w:rsidRPr="005E1CA8">
              <w:rPr>
                <w:sz w:val="20"/>
                <w:szCs w:val="20"/>
              </w:rPr>
              <w:t>Medium</w:t>
            </w:r>
          </w:p>
        </w:tc>
        <w:tc>
          <w:tcPr>
            <w:tcW w:w="2114" w:type="dxa"/>
          </w:tcPr>
          <w:p w14:paraId="74537B16" w14:textId="77777777" w:rsidR="005E1CA8" w:rsidRPr="005E1CA8" w:rsidRDefault="005E1CA8" w:rsidP="005E1CA8">
            <w:pPr>
              <w:jc w:val="center"/>
              <w:rPr>
                <w:sz w:val="20"/>
                <w:szCs w:val="20"/>
              </w:rPr>
            </w:pPr>
            <w:r w:rsidRPr="005E1CA8">
              <w:rPr>
                <w:sz w:val="20"/>
                <w:szCs w:val="20"/>
              </w:rPr>
              <w:t>Low</w:t>
            </w:r>
          </w:p>
        </w:tc>
        <w:tc>
          <w:tcPr>
            <w:tcW w:w="2114" w:type="dxa"/>
          </w:tcPr>
          <w:p w14:paraId="41A5DF3F" w14:textId="77777777" w:rsidR="005E1CA8" w:rsidRPr="005E1CA8" w:rsidRDefault="005E1CA8" w:rsidP="005E1CA8">
            <w:pPr>
              <w:jc w:val="center"/>
              <w:rPr>
                <w:sz w:val="20"/>
                <w:szCs w:val="20"/>
              </w:rPr>
            </w:pPr>
            <w:r w:rsidRPr="005E1CA8">
              <w:rPr>
                <w:sz w:val="20"/>
                <w:szCs w:val="20"/>
              </w:rPr>
              <w:t>Medium</w:t>
            </w:r>
          </w:p>
        </w:tc>
        <w:tc>
          <w:tcPr>
            <w:tcW w:w="2114" w:type="dxa"/>
          </w:tcPr>
          <w:p w14:paraId="13724F3A" w14:textId="77777777" w:rsidR="005E1CA8" w:rsidRPr="005E1CA8" w:rsidRDefault="005E1CA8" w:rsidP="005E1CA8">
            <w:pPr>
              <w:jc w:val="center"/>
              <w:rPr>
                <w:sz w:val="20"/>
                <w:szCs w:val="20"/>
              </w:rPr>
            </w:pPr>
            <w:r w:rsidRPr="005E1CA8">
              <w:rPr>
                <w:sz w:val="20"/>
                <w:szCs w:val="20"/>
              </w:rPr>
              <w:t>Medium</w:t>
            </w:r>
          </w:p>
        </w:tc>
        <w:tc>
          <w:tcPr>
            <w:tcW w:w="5940" w:type="dxa"/>
            <w:gridSpan w:val="6"/>
          </w:tcPr>
          <w:p w14:paraId="235627A8" w14:textId="77777777" w:rsidR="005E1CA8" w:rsidRPr="002E08BC" w:rsidRDefault="005E1CA8" w:rsidP="005E1CA8">
            <w:pPr>
              <w:jc w:val="center"/>
              <w:rPr>
                <w:sz w:val="20"/>
                <w:szCs w:val="20"/>
              </w:rPr>
            </w:pPr>
            <w:r>
              <w:rPr>
                <w:sz w:val="20"/>
                <w:szCs w:val="20"/>
              </w:rPr>
              <w:t>Low</w:t>
            </w:r>
          </w:p>
        </w:tc>
      </w:tr>
      <w:tr w:rsidR="005E1CA8" w:rsidRPr="002E08BC" w14:paraId="06BC6CEF" w14:textId="77777777" w:rsidTr="00FA3F34">
        <w:trPr>
          <w:trHeight w:val="440"/>
        </w:trPr>
        <w:tc>
          <w:tcPr>
            <w:tcW w:w="14395" w:type="dxa"/>
            <w:gridSpan w:val="11"/>
            <w:shd w:val="clear" w:color="auto" w:fill="223767"/>
            <w:vAlign w:val="center"/>
          </w:tcPr>
          <w:p w14:paraId="0E66544B" w14:textId="77777777" w:rsidR="005E1CA8" w:rsidRPr="002E08BC" w:rsidRDefault="005E1CA8" w:rsidP="00024B10">
            <w:pPr>
              <w:rPr>
                <w:b/>
                <w:bCs/>
                <w:sz w:val="20"/>
                <w:szCs w:val="20"/>
              </w:rPr>
            </w:pPr>
            <w:r w:rsidRPr="002E08BC">
              <w:rPr>
                <w:b/>
                <w:bCs/>
                <w:sz w:val="20"/>
                <w:szCs w:val="20"/>
              </w:rPr>
              <w:t xml:space="preserve">Proposed Response and Mitigation Strategies (Step </w:t>
            </w:r>
            <w:r w:rsidR="00E8736D">
              <w:rPr>
                <w:b/>
                <w:bCs/>
                <w:sz w:val="20"/>
                <w:szCs w:val="20"/>
              </w:rPr>
              <w:t>5</w:t>
            </w:r>
            <w:r w:rsidRPr="002E08BC">
              <w:rPr>
                <w:b/>
                <w:bCs/>
                <w:sz w:val="20"/>
                <w:szCs w:val="20"/>
              </w:rPr>
              <w:t>)</w:t>
            </w:r>
          </w:p>
        </w:tc>
      </w:tr>
      <w:tr w:rsidR="005E1CA8" w:rsidRPr="002E08BC" w14:paraId="0D6E8A5C" w14:textId="77777777" w:rsidTr="00FA3F34">
        <w:trPr>
          <w:trHeight w:val="350"/>
        </w:trPr>
        <w:tc>
          <w:tcPr>
            <w:tcW w:w="8995" w:type="dxa"/>
            <w:gridSpan w:val="6"/>
            <w:shd w:val="clear" w:color="auto" w:fill="0098AA"/>
            <w:vAlign w:val="center"/>
          </w:tcPr>
          <w:p w14:paraId="05ABBC55" w14:textId="77777777" w:rsidR="005E1CA8" w:rsidRPr="00454BD6" w:rsidRDefault="005E1CA8" w:rsidP="005E1CA8">
            <w:pPr>
              <w:jc w:val="center"/>
              <w:rPr>
                <w:b/>
                <w:bCs/>
                <w:sz w:val="20"/>
                <w:szCs w:val="20"/>
              </w:rPr>
            </w:pPr>
            <w:r w:rsidRPr="00454BD6">
              <w:rPr>
                <w:b/>
                <w:bCs/>
                <w:sz w:val="20"/>
                <w:szCs w:val="20"/>
              </w:rPr>
              <w:t>Existing Controls</w:t>
            </w:r>
          </w:p>
        </w:tc>
        <w:tc>
          <w:tcPr>
            <w:tcW w:w="2880" w:type="dxa"/>
            <w:gridSpan w:val="2"/>
            <w:shd w:val="clear" w:color="auto" w:fill="0098AA"/>
            <w:vAlign w:val="center"/>
          </w:tcPr>
          <w:p w14:paraId="2864C280" w14:textId="77777777" w:rsidR="005E1CA8" w:rsidRPr="00454BD6" w:rsidRDefault="005E1CA8" w:rsidP="005E1CA8">
            <w:pPr>
              <w:jc w:val="center"/>
              <w:rPr>
                <w:b/>
                <w:bCs/>
                <w:sz w:val="20"/>
                <w:szCs w:val="20"/>
              </w:rPr>
            </w:pPr>
            <w:r w:rsidRPr="00454BD6">
              <w:rPr>
                <w:b/>
                <w:bCs/>
                <w:sz w:val="20"/>
                <w:szCs w:val="20"/>
              </w:rPr>
              <w:t>Residual Risk Level</w:t>
            </w:r>
          </w:p>
        </w:tc>
        <w:tc>
          <w:tcPr>
            <w:tcW w:w="2520" w:type="dxa"/>
            <w:gridSpan w:val="3"/>
            <w:shd w:val="clear" w:color="auto" w:fill="0098AA"/>
            <w:vAlign w:val="center"/>
          </w:tcPr>
          <w:p w14:paraId="3C867620" w14:textId="77777777" w:rsidR="005E1CA8" w:rsidRPr="00454BD6" w:rsidRDefault="005E1CA8" w:rsidP="005E1CA8">
            <w:pPr>
              <w:jc w:val="center"/>
              <w:rPr>
                <w:b/>
                <w:bCs/>
                <w:sz w:val="20"/>
                <w:szCs w:val="20"/>
              </w:rPr>
            </w:pPr>
            <w:r w:rsidRPr="00454BD6">
              <w:rPr>
                <w:b/>
                <w:bCs/>
                <w:sz w:val="20"/>
                <w:szCs w:val="20"/>
              </w:rPr>
              <w:t>Risk Prioritization</w:t>
            </w:r>
          </w:p>
        </w:tc>
      </w:tr>
      <w:tr w:rsidR="005E1CA8" w:rsidRPr="002E08BC" w14:paraId="1125D088" w14:textId="77777777" w:rsidTr="00D23596">
        <w:trPr>
          <w:trHeight w:val="2843"/>
        </w:trPr>
        <w:tc>
          <w:tcPr>
            <w:tcW w:w="8995" w:type="dxa"/>
            <w:gridSpan w:val="6"/>
            <w:shd w:val="clear" w:color="auto" w:fill="auto"/>
          </w:tcPr>
          <w:p w14:paraId="64BEB201" w14:textId="77777777" w:rsidR="005E1CA8" w:rsidRPr="00BB4612" w:rsidRDefault="005E1CA8" w:rsidP="005E1CA8">
            <w:pPr>
              <w:rPr>
                <w:sz w:val="20"/>
                <w:szCs w:val="20"/>
              </w:rPr>
            </w:pPr>
            <w:r w:rsidRPr="006E74FF">
              <w:rPr>
                <w:b/>
                <w:bCs/>
              </w:rPr>
              <w:t>EXAMPLE</w:t>
            </w:r>
            <w:r>
              <w:rPr>
                <w:b/>
                <w:bCs/>
              </w:rPr>
              <w:t>:</w:t>
            </w:r>
          </w:p>
          <w:p w14:paraId="02BFAE41" w14:textId="77777777" w:rsidR="005E1CA8" w:rsidRPr="00EA228B" w:rsidRDefault="005E1CA8" w:rsidP="00687D46">
            <w:pPr>
              <w:pStyle w:val="ListParagraph"/>
              <w:numPr>
                <w:ilvl w:val="0"/>
                <w:numId w:val="14"/>
              </w:numPr>
              <w:ind w:left="520"/>
              <w:rPr>
                <w:sz w:val="20"/>
                <w:szCs w:val="20"/>
              </w:rPr>
            </w:pPr>
            <w:r w:rsidRPr="008B1E23">
              <w:rPr>
                <w:sz w:val="20"/>
                <w:szCs w:val="20"/>
              </w:rPr>
              <w:t xml:space="preserve">Eligibility </w:t>
            </w:r>
            <w:r w:rsidR="001200BD">
              <w:rPr>
                <w:sz w:val="20"/>
                <w:szCs w:val="20"/>
              </w:rPr>
              <w:t xml:space="preserve">determination </w:t>
            </w:r>
            <w:r w:rsidRPr="008B1E23">
              <w:rPr>
                <w:sz w:val="20"/>
                <w:szCs w:val="20"/>
              </w:rPr>
              <w:t>offices are pulling reports to identify cases with changes reported by beneficiaries.</w:t>
            </w:r>
          </w:p>
          <w:p w14:paraId="0E8C9795" w14:textId="77777777" w:rsidR="005E1CA8" w:rsidRDefault="005E1CA8" w:rsidP="00687D46">
            <w:pPr>
              <w:pStyle w:val="ListParagraph"/>
              <w:numPr>
                <w:ilvl w:val="0"/>
                <w:numId w:val="14"/>
              </w:numPr>
              <w:ind w:left="520"/>
              <w:rPr>
                <w:sz w:val="20"/>
                <w:szCs w:val="20"/>
              </w:rPr>
            </w:pPr>
            <w:r w:rsidRPr="00AE56D5">
              <w:rPr>
                <w:sz w:val="20"/>
                <w:szCs w:val="20"/>
              </w:rPr>
              <w:t xml:space="preserve">Eligibility determination </w:t>
            </w:r>
            <w:r>
              <w:rPr>
                <w:sz w:val="20"/>
                <w:szCs w:val="20"/>
              </w:rPr>
              <w:t>office</w:t>
            </w:r>
            <w:r w:rsidR="001200BD">
              <w:rPr>
                <w:sz w:val="20"/>
                <w:szCs w:val="20"/>
              </w:rPr>
              <w:t>s</w:t>
            </w:r>
            <w:r>
              <w:rPr>
                <w:sz w:val="20"/>
                <w:szCs w:val="20"/>
              </w:rPr>
              <w:t xml:space="preserve"> </w:t>
            </w:r>
            <w:r w:rsidR="001200BD">
              <w:rPr>
                <w:sz w:val="20"/>
                <w:szCs w:val="20"/>
              </w:rPr>
              <w:t>are</w:t>
            </w:r>
            <w:r>
              <w:rPr>
                <w:sz w:val="20"/>
                <w:szCs w:val="20"/>
              </w:rPr>
              <w:t xml:space="preserve"> running</w:t>
            </w:r>
            <w:r w:rsidRPr="00AE56D5">
              <w:rPr>
                <w:sz w:val="20"/>
                <w:szCs w:val="20"/>
              </w:rPr>
              <w:t xml:space="preserve"> reports to identify cases with upcoming and past due renewals during the PHE.</w:t>
            </w:r>
          </w:p>
          <w:p w14:paraId="429FE9CD" w14:textId="77777777" w:rsidR="005E1CA8" w:rsidRPr="00687D46" w:rsidRDefault="005E1CA8" w:rsidP="00687D46">
            <w:pPr>
              <w:pStyle w:val="ListParagraph"/>
              <w:numPr>
                <w:ilvl w:val="0"/>
                <w:numId w:val="14"/>
              </w:numPr>
              <w:ind w:left="520"/>
              <w:rPr>
                <w:sz w:val="20"/>
                <w:szCs w:val="20"/>
              </w:rPr>
            </w:pPr>
            <w:r w:rsidRPr="00AE56D5">
              <w:rPr>
                <w:sz w:val="20"/>
                <w:szCs w:val="20"/>
              </w:rPr>
              <w:t>State is processing all redeterminations that can be completed with available information, before the end of the PHE, to reduce the volume of work post-PHE.</w:t>
            </w:r>
            <w:r w:rsidR="00CA5F47">
              <w:rPr>
                <w:sz w:val="20"/>
                <w:szCs w:val="20"/>
              </w:rPr>
              <w:t xml:space="preserve"> </w:t>
            </w:r>
            <w:r w:rsidRPr="00687D46">
              <w:rPr>
                <w:sz w:val="20"/>
                <w:szCs w:val="20"/>
              </w:rPr>
              <w:t>State is sending request for information to renewals that cannot be confirmed with ex parte information before the end of the PHE to reduce the volume of work post-PHE.</w:t>
            </w:r>
          </w:p>
        </w:tc>
        <w:tc>
          <w:tcPr>
            <w:tcW w:w="2880" w:type="dxa"/>
            <w:gridSpan w:val="2"/>
            <w:shd w:val="clear" w:color="auto" w:fill="auto"/>
          </w:tcPr>
          <w:p w14:paraId="0BD93092" w14:textId="77777777" w:rsidR="005E1CA8" w:rsidRPr="002E08BC" w:rsidRDefault="005E1CA8" w:rsidP="005E1CA8">
            <w:pPr>
              <w:jc w:val="center"/>
              <w:rPr>
                <w:color w:val="FFFFFF" w:themeColor="background1"/>
                <w:sz w:val="20"/>
                <w:szCs w:val="20"/>
              </w:rPr>
            </w:pPr>
            <w:r>
              <w:rPr>
                <w:sz w:val="20"/>
                <w:szCs w:val="20"/>
              </w:rPr>
              <w:t>Medium</w:t>
            </w:r>
          </w:p>
        </w:tc>
        <w:tc>
          <w:tcPr>
            <w:tcW w:w="2520" w:type="dxa"/>
            <w:gridSpan w:val="3"/>
            <w:shd w:val="clear" w:color="auto" w:fill="auto"/>
          </w:tcPr>
          <w:p w14:paraId="26291560" w14:textId="77777777" w:rsidR="005E1CA8" w:rsidRPr="002E08BC" w:rsidRDefault="005E1CA8" w:rsidP="00D23596">
            <w:pPr>
              <w:jc w:val="center"/>
              <w:rPr>
                <w:sz w:val="20"/>
                <w:szCs w:val="20"/>
              </w:rPr>
            </w:pPr>
            <w:r>
              <w:rPr>
                <w:sz w:val="20"/>
                <w:szCs w:val="20"/>
              </w:rPr>
              <w:t>High</w:t>
            </w:r>
          </w:p>
        </w:tc>
      </w:tr>
      <w:tr w:rsidR="005E1CA8" w:rsidRPr="002E08BC" w14:paraId="0841C11B" w14:textId="77777777" w:rsidTr="00C075C2">
        <w:trPr>
          <w:trHeight w:val="350"/>
        </w:trPr>
        <w:tc>
          <w:tcPr>
            <w:tcW w:w="8995" w:type="dxa"/>
            <w:gridSpan w:val="6"/>
            <w:tcBorders>
              <w:bottom w:val="single" w:sz="4" w:space="0" w:color="auto"/>
            </w:tcBorders>
            <w:shd w:val="clear" w:color="auto" w:fill="0098AA"/>
            <w:vAlign w:val="center"/>
          </w:tcPr>
          <w:p w14:paraId="72BD9DE9" w14:textId="77777777" w:rsidR="005E1CA8" w:rsidRPr="00454BD6" w:rsidRDefault="005E1CA8" w:rsidP="003A7D2B">
            <w:pPr>
              <w:jc w:val="center"/>
              <w:rPr>
                <w:b/>
                <w:bCs/>
                <w:sz w:val="20"/>
                <w:szCs w:val="20"/>
              </w:rPr>
            </w:pPr>
            <w:r w:rsidRPr="00454BD6">
              <w:rPr>
                <w:b/>
                <w:bCs/>
                <w:sz w:val="20"/>
                <w:szCs w:val="20"/>
              </w:rPr>
              <w:t>Mitigation Strategies</w:t>
            </w:r>
          </w:p>
        </w:tc>
        <w:tc>
          <w:tcPr>
            <w:tcW w:w="2880" w:type="dxa"/>
            <w:gridSpan w:val="2"/>
            <w:tcBorders>
              <w:bottom w:val="single" w:sz="4" w:space="0" w:color="auto"/>
            </w:tcBorders>
            <w:shd w:val="clear" w:color="auto" w:fill="0098AA"/>
            <w:vAlign w:val="center"/>
          </w:tcPr>
          <w:p w14:paraId="6F5FEFCC" w14:textId="77777777" w:rsidR="005E1CA8" w:rsidRPr="00454BD6" w:rsidRDefault="005E1CA8" w:rsidP="003A7D2B">
            <w:pPr>
              <w:jc w:val="center"/>
              <w:rPr>
                <w:b/>
                <w:bCs/>
                <w:sz w:val="20"/>
                <w:szCs w:val="20"/>
              </w:rPr>
            </w:pPr>
            <w:r w:rsidRPr="00454BD6">
              <w:rPr>
                <w:b/>
                <w:bCs/>
                <w:sz w:val="20"/>
                <w:szCs w:val="20"/>
              </w:rPr>
              <w:t>Responsible Entity</w:t>
            </w:r>
          </w:p>
        </w:tc>
        <w:tc>
          <w:tcPr>
            <w:tcW w:w="2520" w:type="dxa"/>
            <w:gridSpan w:val="3"/>
            <w:tcBorders>
              <w:bottom w:val="single" w:sz="4" w:space="0" w:color="auto"/>
            </w:tcBorders>
            <w:shd w:val="clear" w:color="auto" w:fill="0098AA"/>
            <w:vAlign w:val="center"/>
          </w:tcPr>
          <w:p w14:paraId="4E7F6490" w14:textId="77777777" w:rsidR="005E1CA8" w:rsidRPr="00454BD6" w:rsidRDefault="005E1CA8" w:rsidP="003A7D2B">
            <w:pPr>
              <w:jc w:val="center"/>
              <w:rPr>
                <w:sz w:val="20"/>
                <w:szCs w:val="20"/>
              </w:rPr>
            </w:pPr>
            <w:r w:rsidRPr="00454BD6">
              <w:rPr>
                <w:b/>
                <w:bCs/>
                <w:sz w:val="20"/>
                <w:szCs w:val="20"/>
              </w:rPr>
              <w:t>Estimated Go-Live Date</w:t>
            </w:r>
          </w:p>
        </w:tc>
      </w:tr>
      <w:tr w:rsidR="005E1CA8" w:rsidRPr="002E08BC" w14:paraId="3A9F2A21" w14:textId="77777777" w:rsidTr="00176FB4">
        <w:trPr>
          <w:trHeight w:val="1421"/>
        </w:trPr>
        <w:tc>
          <w:tcPr>
            <w:tcW w:w="8995" w:type="dxa"/>
            <w:gridSpan w:val="6"/>
            <w:tcBorders>
              <w:bottom w:val="nil"/>
            </w:tcBorders>
            <w:shd w:val="clear" w:color="auto" w:fill="auto"/>
          </w:tcPr>
          <w:p w14:paraId="5D99E5A6" w14:textId="77777777" w:rsidR="005E1CA8" w:rsidRPr="00F72116" w:rsidRDefault="005E1CA8" w:rsidP="00F72116">
            <w:pPr>
              <w:spacing w:after="160" w:line="259" w:lineRule="auto"/>
              <w:contextualSpacing/>
              <w:rPr>
                <w:sz w:val="20"/>
                <w:szCs w:val="20"/>
              </w:rPr>
            </w:pPr>
            <w:r w:rsidRPr="006E74FF">
              <w:rPr>
                <w:b/>
                <w:bCs/>
              </w:rPr>
              <w:t>EXAMPLE</w:t>
            </w:r>
            <w:r>
              <w:rPr>
                <w:b/>
                <w:bCs/>
              </w:rPr>
              <w:t>:</w:t>
            </w:r>
          </w:p>
          <w:p w14:paraId="740BFE06" w14:textId="77777777" w:rsidR="005E1CA8" w:rsidRPr="00F72116" w:rsidRDefault="005E1CA8" w:rsidP="00F72116">
            <w:pPr>
              <w:numPr>
                <w:ilvl w:val="1"/>
                <w:numId w:val="13"/>
              </w:numPr>
              <w:spacing w:after="160" w:line="259" w:lineRule="auto"/>
              <w:contextualSpacing/>
              <w:rPr>
                <w:sz w:val="20"/>
                <w:szCs w:val="20"/>
              </w:rPr>
            </w:pPr>
            <w:r w:rsidRPr="003448A0">
              <w:rPr>
                <w:sz w:val="20"/>
                <w:szCs w:val="20"/>
              </w:rPr>
              <w:t xml:space="preserve">Avoidance: </w:t>
            </w:r>
          </w:p>
          <w:p w14:paraId="0B809E9B" w14:textId="2FBBACEC" w:rsidR="005E1CA8" w:rsidRPr="00A378A9" w:rsidRDefault="005E1CA8" w:rsidP="00A378A9">
            <w:pPr>
              <w:numPr>
                <w:ilvl w:val="0"/>
                <w:numId w:val="11"/>
              </w:numPr>
              <w:spacing w:after="160" w:line="259" w:lineRule="auto"/>
              <w:ind w:left="505"/>
              <w:contextualSpacing/>
              <w:rPr>
                <w:sz w:val="20"/>
                <w:szCs w:val="20"/>
              </w:rPr>
            </w:pPr>
            <w:r w:rsidRPr="003448A0">
              <w:rPr>
                <w:sz w:val="20"/>
                <w:szCs w:val="20"/>
              </w:rPr>
              <w:t>To the extent permissible during the PHE, act on changes in circumstances and process renewals;</w:t>
            </w:r>
          </w:p>
        </w:tc>
        <w:tc>
          <w:tcPr>
            <w:tcW w:w="2880" w:type="dxa"/>
            <w:gridSpan w:val="2"/>
            <w:tcBorders>
              <w:bottom w:val="nil"/>
            </w:tcBorders>
            <w:shd w:val="clear" w:color="auto" w:fill="auto"/>
          </w:tcPr>
          <w:p w14:paraId="60514D44" w14:textId="77777777" w:rsidR="00294C55" w:rsidRPr="00176FB4" w:rsidRDefault="001901B9" w:rsidP="00176FB4">
            <w:pPr>
              <w:spacing w:after="160" w:line="259" w:lineRule="auto"/>
              <w:contextualSpacing/>
              <w:rPr>
                <w:b/>
                <w:bCs/>
              </w:rPr>
            </w:pPr>
            <w:r w:rsidRPr="00176FB4">
              <w:rPr>
                <w:b/>
                <w:bCs/>
              </w:rPr>
              <w:t>EXAMPLE:</w:t>
            </w:r>
          </w:p>
          <w:p w14:paraId="2A0E02F2" w14:textId="77777777" w:rsidR="00BF7B41" w:rsidRDefault="00BF7B41" w:rsidP="00176FB4">
            <w:pPr>
              <w:ind w:left="348"/>
              <w:rPr>
                <w:sz w:val="20"/>
                <w:szCs w:val="20"/>
              </w:rPr>
            </w:pPr>
          </w:p>
          <w:p w14:paraId="5F1E86DA" w14:textId="66108D0D" w:rsidR="004B67CA" w:rsidRPr="00A378A9" w:rsidRDefault="00326A71" w:rsidP="00176FB4">
            <w:pPr>
              <w:pStyle w:val="ListParagraph"/>
              <w:numPr>
                <w:ilvl w:val="0"/>
                <w:numId w:val="11"/>
              </w:numPr>
              <w:ind w:left="348"/>
              <w:rPr>
                <w:sz w:val="20"/>
                <w:szCs w:val="20"/>
              </w:rPr>
            </w:pPr>
            <w:r>
              <w:rPr>
                <w:sz w:val="20"/>
                <w:szCs w:val="20"/>
              </w:rPr>
              <w:t>R</w:t>
            </w:r>
            <w:r w:rsidR="00294C55">
              <w:rPr>
                <w:sz w:val="20"/>
                <w:szCs w:val="20"/>
              </w:rPr>
              <w:t>elevant component of Medicaid agency</w:t>
            </w:r>
            <w:r w:rsidR="007123C1">
              <w:rPr>
                <w:sz w:val="20"/>
                <w:szCs w:val="20"/>
              </w:rPr>
              <w:t xml:space="preserve"> (or person within component)</w:t>
            </w:r>
          </w:p>
        </w:tc>
        <w:tc>
          <w:tcPr>
            <w:tcW w:w="2520" w:type="dxa"/>
            <w:gridSpan w:val="3"/>
            <w:tcBorders>
              <w:bottom w:val="nil"/>
            </w:tcBorders>
            <w:shd w:val="clear" w:color="auto" w:fill="auto"/>
          </w:tcPr>
          <w:p w14:paraId="31283D13" w14:textId="77777777" w:rsidR="00950744" w:rsidRPr="00F72116" w:rsidRDefault="001901B9" w:rsidP="00F72116">
            <w:pPr>
              <w:spacing w:after="160" w:line="259" w:lineRule="auto"/>
              <w:contextualSpacing/>
              <w:rPr>
                <w:sz w:val="20"/>
                <w:szCs w:val="20"/>
              </w:rPr>
            </w:pPr>
            <w:r w:rsidRPr="006E74FF">
              <w:rPr>
                <w:b/>
                <w:bCs/>
              </w:rPr>
              <w:t>EXAMPLE</w:t>
            </w:r>
            <w:r>
              <w:rPr>
                <w:b/>
                <w:bCs/>
              </w:rPr>
              <w:t>:</w:t>
            </w:r>
          </w:p>
          <w:p w14:paraId="6FBBE09C" w14:textId="77777777" w:rsidR="00950744" w:rsidRPr="003A7D2B" w:rsidRDefault="00950744" w:rsidP="005E1CA8">
            <w:pPr>
              <w:rPr>
                <w:sz w:val="20"/>
                <w:szCs w:val="20"/>
              </w:rPr>
            </w:pPr>
          </w:p>
          <w:p w14:paraId="00684156" w14:textId="7AFC307C" w:rsidR="004B67CA" w:rsidRPr="003A7D2B" w:rsidRDefault="00950744" w:rsidP="004B67CA">
            <w:pPr>
              <w:rPr>
                <w:sz w:val="20"/>
                <w:szCs w:val="20"/>
              </w:rPr>
            </w:pPr>
            <w:r w:rsidRPr="003A7D2B">
              <w:rPr>
                <w:sz w:val="20"/>
                <w:szCs w:val="20"/>
              </w:rPr>
              <w:t>0</w:t>
            </w:r>
            <w:r w:rsidR="00AE44F2">
              <w:rPr>
                <w:sz w:val="20"/>
                <w:szCs w:val="20"/>
              </w:rPr>
              <w:t>6</w:t>
            </w:r>
            <w:r w:rsidRPr="003A7D2B">
              <w:rPr>
                <w:sz w:val="20"/>
                <w:szCs w:val="20"/>
              </w:rPr>
              <w:t>/1</w:t>
            </w:r>
            <w:r w:rsidR="00C45D88" w:rsidRPr="003A7D2B">
              <w:rPr>
                <w:sz w:val="20"/>
                <w:szCs w:val="20"/>
              </w:rPr>
              <w:t>5</w:t>
            </w:r>
            <w:r w:rsidRPr="003A7D2B">
              <w:rPr>
                <w:sz w:val="20"/>
                <w:szCs w:val="20"/>
              </w:rPr>
              <w:t>/2021</w:t>
            </w:r>
          </w:p>
        </w:tc>
      </w:tr>
      <w:tr w:rsidR="00A378A9" w:rsidRPr="002E08BC" w14:paraId="61CAC0F2" w14:textId="77777777" w:rsidTr="00176FB4">
        <w:trPr>
          <w:trHeight w:val="909"/>
        </w:trPr>
        <w:tc>
          <w:tcPr>
            <w:tcW w:w="8995" w:type="dxa"/>
            <w:gridSpan w:val="6"/>
            <w:tcBorders>
              <w:top w:val="nil"/>
              <w:bottom w:val="nil"/>
            </w:tcBorders>
            <w:shd w:val="clear" w:color="auto" w:fill="auto"/>
          </w:tcPr>
          <w:p w14:paraId="14ADC385" w14:textId="37DCEE2C" w:rsidR="00A378A9" w:rsidRPr="006E74FF" w:rsidRDefault="00A378A9" w:rsidP="00BC4575">
            <w:pPr>
              <w:numPr>
                <w:ilvl w:val="0"/>
                <w:numId w:val="11"/>
              </w:numPr>
              <w:spacing w:after="160" w:line="259" w:lineRule="auto"/>
              <w:ind w:left="505"/>
              <w:contextualSpacing/>
              <w:rPr>
                <w:b/>
                <w:bCs/>
              </w:rPr>
            </w:pPr>
            <w:r w:rsidRPr="003448A0">
              <w:rPr>
                <w:sz w:val="20"/>
                <w:szCs w:val="20"/>
              </w:rPr>
              <w:t>Structure workforce tasks to focus on difficult cases that require manual review;</w:t>
            </w:r>
          </w:p>
        </w:tc>
        <w:tc>
          <w:tcPr>
            <w:tcW w:w="2880" w:type="dxa"/>
            <w:gridSpan w:val="2"/>
            <w:tcBorders>
              <w:top w:val="nil"/>
              <w:bottom w:val="nil"/>
            </w:tcBorders>
            <w:shd w:val="clear" w:color="auto" w:fill="auto"/>
          </w:tcPr>
          <w:p w14:paraId="693274E5" w14:textId="35BA33E6" w:rsidR="00A378A9" w:rsidRPr="00176FB4" w:rsidRDefault="00A378A9" w:rsidP="00176FB4">
            <w:pPr>
              <w:numPr>
                <w:ilvl w:val="0"/>
                <w:numId w:val="11"/>
              </w:numPr>
              <w:spacing w:after="160" w:line="259" w:lineRule="auto"/>
              <w:ind w:left="348"/>
              <w:contextualSpacing/>
              <w:rPr>
                <w:sz w:val="20"/>
                <w:szCs w:val="20"/>
              </w:rPr>
            </w:pPr>
            <w:r>
              <w:rPr>
                <w:sz w:val="20"/>
                <w:szCs w:val="20"/>
              </w:rPr>
              <w:t>Relevant agency component (or person within component)</w:t>
            </w:r>
          </w:p>
        </w:tc>
        <w:tc>
          <w:tcPr>
            <w:tcW w:w="2520" w:type="dxa"/>
            <w:gridSpan w:val="3"/>
            <w:tcBorders>
              <w:top w:val="nil"/>
              <w:bottom w:val="nil"/>
            </w:tcBorders>
            <w:shd w:val="clear" w:color="auto" w:fill="auto"/>
          </w:tcPr>
          <w:p w14:paraId="4FBB5C24" w14:textId="44AFBBF7" w:rsidR="00A378A9" w:rsidRPr="006E74FF" w:rsidRDefault="00A378A9" w:rsidP="00F72116">
            <w:pPr>
              <w:contextualSpacing/>
              <w:rPr>
                <w:b/>
                <w:bCs/>
              </w:rPr>
            </w:pPr>
            <w:r w:rsidRPr="003A7D2B">
              <w:rPr>
                <w:sz w:val="20"/>
                <w:szCs w:val="20"/>
              </w:rPr>
              <w:t>0</w:t>
            </w:r>
            <w:r>
              <w:rPr>
                <w:sz w:val="20"/>
                <w:szCs w:val="20"/>
              </w:rPr>
              <w:t>6</w:t>
            </w:r>
            <w:r w:rsidRPr="003A7D2B">
              <w:rPr>
                <w:sz w:val="20"/>
                <w:szCs w:val="20"/>
              </w:rPr>
              <w:t>/15/2021</w:t>
            </w:r>
          </w:p>
        </w:tc>
      </w:tr>
      <w:tr w:rsidR="00A378A9" w:rsidRPr="002E08BC" w14:paraId="52D84F87" w14:textId="77777777" w:rsidTr="00176FB4">
        <w:trPr>
          <w:trHeight w:val="990"/>
        </w:trPr>
        <w:tc>
          <w:tcPr>
            <w:tcW w:w="8995" w:type="dxa"/>
            <w:gridSpan w:val="6"/>
            <w:tcBorders>
              <w:top w:val="nil"/>
              <w:bottom w:val="nil"/>
            </w:tcBorders>
            <w:shd w:val="clear" w:color="auto" w:fill="auto"/>
          </w:tcPr>
          <w:p w14:paraId="03E7A6C4" w14:textId="3FD40EE0" w:rsidR="00A378A9" w:rsidRPr="006E74FF" w:rsidRDefault="00A378A9" w:rsidP="00BC4575">
            <w:pPr>
              <w:numPr>
                <w:ilvl w:val="0"/>
                <w:numId w:val="11"/>
              </w:numPr>
              <w:spacing w:after="160" w:line="259" w:lineRule="auto"/>
              <w:ind w:left="505"/>
              <w:contextualSpacing/>
              <w:rPr>
                <w:b/>
                <w:bCs/>
              </w:rPr>
            </w:pPr>
            <w:r w:rsidRPr="003448A0">
              <w:rPr>
                <w:sz w:val="20"/>
                <w:szCs w:val="20"/>
              </w:rPr>
              <w:t>If the state has sufficient information to renew eligibility when redetermining eligibility based on a change, complete the renewal and provide the beneficiary with a new 12-month (or other) eligibility;</w:t>
            </w:r>
          </w:p>
        </w:tc>
        <w:tc>
          <w:tcPr>
            <w:tcW w:w="2880" w:type="dxa"/>
            <w:gridSpan w:val="2"/>
            <w:tcBorders>
              <w:top w:val="nil"/>
              <w:bottom w:val="nil"/>
            </w:tcBorders>
            <w:shd w:val="clear" w:color="auto" w:fill="auto"/>
          </w:tcPr>
          <w:p w14:paraId="68F56B9E" w14:textId="330944F0" w:rsidR="00A378A9" w:rsidRPr="00176FB4" w:rsidRDefault="00A378A9" w:rsidP="00176FB4">
            <w:pPr>
              <w:numPr>
                <w:ilvl w:val="0"/>
                <w:numId w:val="11"/>
              </w:numPr>
              <w:spacing w:after="160" w:line="259" w:lineRule="auto"/>
              <w:ind w:left="348"/>
              <w:contextualSpacing/>
              <w:rPr>
                <w:sz w:val="20"/>
                <w:szCs w:val="20"/>
              </w:rPr>
            </w:pPr>
            <w:r>
              <w:rPr>
                <w:sz w:val="20"/>
                <w:szCs w:val="20"/>
              </w:rPr>
              <w:t>Relevant agency component (or person within component)</w:t>
            </w:r>
          </w:p>
        </w:tc>
        <w:tc>
          <w:tcPr>
            <w:tcW w:w="2520" w:type="dxa"/>
            <w:gridSpan w:val="3"/>
            <w:tcBorders>
              <w:top w:val="nil"/>
              <w:bottom w:val="nil"/>
            </w:tcBorders>
            <w:shd w:val="clear" w:color="auto" w:fill="auto"/>
          </w:tcPr>
          <w:p w14:paraId="2A2E7201" w14:textId="14E2BA06" w:rsidR="00A378A9" w:rsidRPr="006E74FF" w:rsidRDefault="00A378A9" w:rsidP="00F72116">
            <w:pPr>
              <w:contextualSpacing/>
              <w:rPr>
                <w:b/>
                <w:bCs/>
              </w:rPr>
            </w:pPr>
            <w:r w:rsidRPr="003A7D2B">
              <w:rPr>
                <w:sz w:val="20"/>
                <w:szCs w:val="20"/>
              </w:rPr>
              <w:t>0</w:t>
            </w:r>
            <w:r>
              <w:rPr>
                <w:sz w:val="20"/>
                <w:szCs w:val="20"/>
              </w:rPr>
              <w:t>6</w:t>
            </w:r>
            <w:r w:rsidRPr="003A7D2B">
              <w:rPr>
                <w:sz w:val="20"/>
                <w:szCs w:val="20"/>
              </w:rPr>
              <w:t>/15/2021</w:t>
            </w:r>
          </w:p>
        </w:tc>
      </w:tr>
      <w:tr w:rsidR="00A378A9" w:rsidRPr="002E08BC" w14:paraId="20D1FCFF" w14:textId="77777777" w:rsidTr="00C075C2">
        <w:trPr>
          <w:trHeight w:val="350"/>
        </w:trPr>
        <w:tc>
          <w:tcPr>
            <w:tcW w:w="8995" w:type="dxa"/>
            <w:gridSpan w:val="6"/>
            <w:tcBorders>
              <w:top w:val="nil"/>
              <w:bottom w:val="nil"/>
            </w:tcBorders>
            <w:shd w:val="clear" w:color="auto" w:fill="auto"/>
          </w:tcPr>
          <w:p w14:paraId="39E09B9B" w14:textId="036F72D5" w:rsidR="00A378A9" w:rsidRPr="006E74FF" w:rsidRDefault="00A378A9" w:rsidP="00BC4575">
            <w:pPr>
              <w:numPr>
                <w:ilvl w:val="0"/>
                <w:numId w:val="11"/>
              </w:numPr>
              <w:spacing w:after="160" w:line="259" w:lineRule="auto"/>
              <w:ind w:left="505"/>
              <w:contextualSpacing/>
              <w:rPr>
                <w:b/>
                <w:bCs/>
              </w:rPr>
            </w:pPr>
            <w:r w:rsidRPr="003448A0">
              <w:rPr>
                <w:sz w:val="20"/>
                <w:szCs w:val="20"/>
              </w:rPr>
              <w:t>Prior to the end of the PHE, Submit SPA to expand renewal timeframe for non-MAGI renewals from 6 months to 12 months</w:t>
            </w:r>
            <w:r w:rsidR="00C25354">
              <w:rPr>
                <w:sz w:val="20"/>
                <w:szCs w:val="20"/>
              </w:rPr>
              <w:t>.</w:t>
            </w:r>
          </w:p>
        </w:tc>
        <w:tc>
          <w:tcPr>
            <w:tcW w:w="2880" w:type="dxa"/>
            <w:gridSpan w:val="2"/>
            <w:tcBorders>
              <w:top w:val="nil"/>
              <w:bottom w:val="nil"/>
            </w:tcBorders>
            <w:shd w:val="clear" w:color="auto" w:fill="auto"/>
          </w:tcPr>
          <w:p w14:paraId="78BE6A7D" w14:textId="5CD4D70C" w:rsidR="00A378A9" w:rsidRPr="00176FB4" w:rsidRDefault="00A378A9" w:rsidP="00176FB4">
            <w:pPr>
              <w:numPr>
                <w:ilvl w:val="0"/>
                <w:numId w:val="11"/>
              </w:numPr>
              <w:spacing w:after="160" w:line="259" w:lineRule="auto"/>
              <w:ind w:left="348"/>
              <w:contextualSpacing/>
              <w:rPr>
                <w:sz w:val="20"/>
                <w:szCs w:val="20"/>
              </w:rPr>
            </w:pPr>
            <w:r>
              <w:rPr>
                <w:sz w:val="20"/>
                <w:szCs w:val="20"/>
              </w:rPr>
              <w:t>Relevant agency component (or person within component)</w:t>
            </w:r>
          </w:p>
        </w:tc>
        <w:tc>
          <w:tcPr>
            <w:tcW w:w="2520" w:type="dxa"/>
            <w:gridSpan w:val="3"/>
            <w:tcBorders>
              <w:top w:val="nil"/>
              <w:bottom w:val="nil"/>
            </w:tcBorders>
            <w:shd w:val="clear" w:color="auto" w:fill="auto"/>
          </w:tcPr>
          <w:p w14:paraId="3C082DCE" w14:textId="01FD6AE6" w:rsidR="00A378A9" w:rsidRPr="006E74FF" w:rsidRDefault="00A378A9" w:rsidP="00F72116">
            <w:pPr>
              <w:contextualSpacing/>
              <w:rPr>
                <w:b/>
                <w:bCs/>
              </w:rPr>
            </w:pPr>
            <w:r w:rsidRPr="003A7D2B">
              <w:rPr>
                <w:sz w:val="20"/>
                <w:szCs w:val="20"/>
              </w:rPr>
              <w:t>0</w:t>
            </w:r>
            <w:r>
              <w:rPr>
                <w:sz w:val="20"/>
                <w:szCs w:val="20"/>
              </w:rPr>
              <w:t>6</w:t>
            </w:r>
            <w:r w:rsidRPr="003A7D2B">
              <w:rPr>
                <w:sz w:val="20"/>
                <w:szCs w:val="20"/>
              </w:rPr>
              <w:t>/15/2021</w:t>
            </w:r>
          </w:p>
        </w:tc>
      </w:tr>
      <w:tr w:rsidR="00774094" w:rsidRPr="002E08BC" w14:paraId="1886930A" w14:textId="77777777" w:rsidTr="00176FB4">
        <w:trPr>
          <w:trHeight w:val="1305"/>
        </w:trPr>
        <w:tc>
          <w:tcPr>
            <w:tcW w:w="8995" w:type="dxa"/>
            <w:gridSpan w:val="6"/>
            <w:tcBorders>
              <w:top w:val="nil"/>
              <w:bottom w:val="nil"/>
            </w:tcBorders>
            <w:shd w:val="clear" w:color="auto" w:fill="auto"/>
          </w:tcPr>
          <w:p w14:paraId="2EBFA358" w14:textId="77777777" w:rsidR="00774094" w:rsidRPr="00F72116" w:rsidRDefault="00774094" w:rsidP="00774094">
            <w:pPr>
              <w:pStyle w:val="ListParagraph"/>
              <w:numPr>
                <w:ilvl w:val="1"/>
                <w:numId w:val="13"/>
              </w:numPr>
              <w:rPr>
                <w:sz w:val="20"/>
                <w:szCs w:val="20"/>
              </w:rPr>
            </w:pPr>
            <w:r w:rsidRPr="003448A0">
              <w:rPr>
                <w:sz w:val="20"/>
                <w:szCs w:val="20"/>
              </w:rPr>
              <w:t xml:space="preserve">Reduction: </w:t>
            </w:r>
          </w:p>
          <w:p w14:paraId="2490788F" w14:textId="0D6C6968" w:rsidR="00774094" w:rsidRPr="006E74FF" w:rsidRDefault="00774094" w:rsidP="00BC4575">
            <w:pPr>
              <w:numPr>
                <w:ilvl w:val="0"/>
                <w:numId w:val="11"/>
              </w:numPr>
              <w:spacing w:after="160" w:line="259" w:lineRule="auto"/>
              <w:ind w:left="505"/>
              <w:contextualSpacing/>
              <w:rPr>
                <w:b/>
                <w:bCs/>
              </w:rPr>
            </w:pPr>
            <w:r w:rsidRPr="003448A0">
              <w:rPr>
                <w:sz w:val="20"/>
                <w:szCs w:val="20"/>
              </w:rPr>
              <w:t>Use additional electronic data verification sources and consider additional verification flexibilities in order to reduce amount of outreach required for beneficiaries and improve successful ex parte renewals;</w:t>
            </w:r>
          </w:p>
        </w:tc>
        <w:tc>
          <w:tcPr>
            <w:tcW w:w="2880" w:type="dxa"/>
            <w:gridSpan w:val="2"/>
            <w:tcBorders>
              <w:top w:val="nil"/>
              <w:bottom w:val="nil"/>
            </w:tcBorders>
            <w:shd w:val="clear" w:color="auto" w:fill="auto"/>
          </w:tcPr>
          <w:p w14:paraId="0FA99CC4" w14:textId="77777777" w:rsidR="00BC4575" w:rsidRPr="00176FB4" w:rsidRDefault="00BC4575" w:rsidP="00176FB4">
            <w:pPr>
              <w:spacing w:after="160" w:line="259" w:lineRule="auto"/>
              <w:ind w:left="348"/>
              <w:contextualSpacing/>
              <w:rPr>
                <w:sz w:val="20"/>
                <w:szCs w:val="20"/>
              </w:rPr>
            </w:pPr>
          </w:p>
          <w:p w14:paraId="556DDB4B" w14:textId="0B4FCE4A" w:rsidR="00774094" w:rsidRPr="00176FB4" w:rsidRDefault="00774094" w:rsidP="00176FB4">
            <w:pPr>
              <w:numPr>
                <w:ilvl w:val="0"/>
                <w:numId w:val="11"/>
              </w:numPr>
              <w:spacing w:after="160" w:line="259" w:lineRule="auto"/>
              <w:ind w:left="348"/>
              <w:contextualSpacing/>
              <w:rPr>
                <w:sz w:val="20"/>
                <w:szCs w:val="20"/>
              </w:rPr>
            </w:pPr>
            <w:r w:rsidRPr="001200BD">
              <w:rPr>
                <w:sz w:val="20"/>
                <w:szCs w:val="20"/>
              </w:rPr>
              <w:t>Relevant agency component (or person within component)</w:t>
            </w:r>
          </w:p>
        </w:tc>
        <w:tc>
          <w:tcPr>
            <w:tcW w:w="2520" w:type="dxa"/>
            <w:gridSpan w:val="3"/>
            <w:tcBorders>
              <w:top w:val="nil"/>
              <w:bottom w:val="nil"/>
            </w:tcBorders>
            <w:shd w:val="clear" w:color="auto" w:fill="auto"/>
          </w:tcPr>
          <w:p w14:paraId="16A9D24C" w14:textId="77777777" w:rsidR="00BC4575" w:rsidRDefault="00BC4575" w:rsidP="004A0623">
            <w:pPr>
              <w:spacing w:after="160" w:line="259" w:lineRule="auto"/>
              <w:ind w:left="505"/>
              <w:contextualSpacing/>
              <w:rPr>
                <w:sz w:val="20"/>
                <w:szCs w:val="20"/>
              </w:rPr>
            </w:pPr>
          </w:p>
          <w:p w14:paraId="7282A1D0" w14:textId="387C6134" w:rsidR="00774094" w:rsidRPr="006E74FF" w:rsidRDefault="00774094" w:rsidP="00F72116">
            <w:pPr>
              <w:contextualSpacing/>
              <w:rPr>
                <w:b/>
                <w:bCs/>
              </w:rPr>
            </w:pPr>
            <w:r w:rsidRPr="003A7D2B">
              <w:rPr>
                <w:sz w:val="20"/>
                <w:szCs w:val="20"/>
              </w:rPr>
              <w:t>Beginning ASAP post-PHE</w:t>
            </w:r>
          </w:p>
        </w:tc>
      </w:tr>
      <w:tr w:rsidR="00C25779" w:rsidRPr="002E08BC" w14:paraId="6562BF4F" w14:textId="77777777" w:rsidTr="00C075C2">
        <w:trPr>
          <w:trHeight w:val="350"/>
        </w:trPr>
        <w:tc>
          <w:tcPr>
            <w:tcW w:w="8995" w:type="dxa"/>
            <w:gridSpan w:val="6"/>
            <w:tcBorders>
              <w:top w:val="nil"/>
            </w:tcBorders>
            <w:shd w:val="clear" w:color="auto" w:fill="auto"/>
          </w:tcPr>
          <w:p w14:paraId="45C375BF" w14:textId="65950422" w:rsidR="00C25779" w:rsidRPr="00C25779" w:rsidRDefault="00C25779" w:rsidP="00176FB4">
            <w:pPr>
              <w:numPr>
                <w:ilvl w:val="0"/>
                <w:numId w:val="11"/>
              </w:numPr>
              <w:spacing w:after="160" w:line="259" w:lineRule="auto"/>
              <w:ind w:left="505"/>
              <w:contextualSpacing/>
              <w:rPr>
                <w:sz w:val="20"/>
                <w:szCs w:val="20"/>
              </w:rPr>
            </w:pPr>
            <w:r w:rsidRPr="003448A0">
              <w:rPr>
                <w:sz w:val="20"/>
                <w:szCs w:val="20"/>
              </w:rPr>
              <w:t>Process renewals at highest risk for ineligibility first (i.e. Individuals determined ineligible during the PHE but were never terminated d/t FFCRA, individuals who may have aged out of coverage during the PHE, or individuals who gained coverage only because of a temporary eligibility flexibility)</w:t>
            </w:r>
            <w:r w:rsidR="00C25354">
              <w:rPr>
                <w:sz w:val="20"/>
                <w:szCs w:val="20"/>
              </w:rPr>
              <w:t>.</w:t>
            </w:r>
          </w:p>
        </w:tc>
        <w:tc>
          <w:tcPr>
            <w:tcW w:w="2880" w:type="dxa"/>
            <w:gridSpan w:val="2"/>
            <w:tcBorders>
              <w:top w:val="nil"/>
            </w:tcBorders>
            <w:shd w:val="clear" w:color="auto" w:fill="auto"/>
          </w:tcPr>
          <w:p w14:paraId="7688F43A" w14:textId="78EFC14C" w:rsidR="00C25779" w:rsidRPr="00C25779" w:rsidRDefault="00C25779" w:rsidP="00176FB4">
            <w:pPr>
              <w:numPr>
                <w:ilvl w:val="0"/>
                <w:numId w:val="11"/>
              </w:numPr>
              <w:ind w:left="348"/>
              <w:contextualSpacing/>
              <w:rPr>
                <w:sz w:val="20"/>
                <w:szCs w:val="20"/>
              </w:rPr>
            </w:pPr>
            <w:r>
              <w:rPr>
                <w:sz w:val="20"/>
                <w:szCs w:val="20"/>
              </w:rPr>
              <w:t>Relevant agency component (or person within component)</w:t>
            </w:r>
          </w:p>
        </w:tc>
        <w:tc>
          <w:tcPr>
            <w:tcW w:w="2520" w:type="dxa"/>
            <w:gridSpan w:val="3"/>
            <w:tcBorders>
              <w:top w:val="nil"/>
            </w:tcBorders>
            <w:shd w:val="clear" w:color="auto" w:fill="auto"/>
          </w:tcPr>
          <w:p w14:paraId="7F0E5F16" w14:textId="0BF56F40" w:rsidR="00C25779" w:rsidRPr="006E74FF" w:rsidRDefault="00C25779" w:rsidP="00F72116">
            <w:pPr>
              <w:contextualSpacing/>
              <w:rPr>
                <w:b/>
                <w:bCs/>
              </w:rPr>
            </w:pPr>
            <w:r w:rsidRPr="003A7D2B">
              <w:rPr>
                <w:sz w:val="20"/>
                <w:szCs w:val="20"/>
              </w:rPr>
              <w:t>Beginning ASAP post-PHE</w:t>
            </w:r>
          </w:p>
        </w:tc>
      </w:tr>
    </w:tbl>
    <w:p w14:paraId="071FFC13" w14:textId="77777777" w:rsidR="00F34D93" w:rsidRDefault="00F34D93"/>
    <w:sectPr w:rsidR="00F34D93" w:rsidSect="00F34D93">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7E6801" w14:textId="77777777" w:rsidR="00196932" w:rsidRDefault="00196932" w:rsidP="00F34D93">
      <w:pPr>
        <w:spacing w:after="0" w:line="240" w:lineRule="auto"/>
      </w:pPr>
      <w:r>
        <w:separator/>
      </w:r>
    </w:p>
  </w:endnote>
  <w:endnote w:type="continuationSeparator" w:id="0">
    <w:p w14:paraId="01798295" w14:textId="77777777" w:rsidR="00196932" w:rsidRDefault="00196932" w:rsidP="00F34D93">
      <w:pPr>
        <w:spacing w:after="0" w:line="240" w:lineRule="auto"/>
      </w:pPr>
      <w:r>
        <w:continuationSeparator/>
      </w:r>
    </w:p>
  </w:endnote>
  <w:endnote w:type="continuationNotice" w:id="1">
    <w:p w14:paraId="05AA6497" w14:textId="77777777" w:rsidR="00196932" w:rsidRDefault="001969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1105006446"/>
      <w:docPartObj>
        <w:docPartGallery w:val="Page Numbers (Bottom of Page)"/>
        <w:docPartUnique/>
      </w:docPartObj>
    </w:sdtPr>
    <w:sdtEndPr>
      <w:rPr>
        <w:rFonts w:ascii="Times New Roman" w:hAnsi="Times New Roman" w:cs="Times New Roman"/>
        <w:noProof/>
      </w:rPr>
    </w:sdtEndPr>
    <w:sdtContent>
      <w:p w14:paraId="675F3DB8" w14:textId="2AD4E0FE" w:rsidR="00196932" w:rsidRPr="000C5552" w:rsidRDefault="00196932" w:rsidP="000C5552">
        <w:pPr>
          <w:pStyle w:val="Footer"/>
          <w:jc w:val="center"/>
          <w:rPr>
            <w:rFonts w:ascii="Times New Roman" w:hAnsi="Times New Roman" w:cs="Times New Roman"/>
            <w:sz w:val="20"/>
            <w:szCs w:val="20"/>
          </w:rPr>
        </w:pPr>
        <w:r w:rsidRPr="006E7DAB">
          <w:rPr>
            <w:rFonts w:ascii="Times New Roman" w:hAnsi="Times New Roman" w:cs="Times New Roman"/>
            <w:sz w:val="20"/>
            <w:szCs w:val="20"/>
          </w:rPr>
          <w:fldChar w:fldCharType="begin"/>
        </w:r>
        <w:r w:rsidRPr="006E7DAB">
          <w:rPr>
            <w:rFonts w:ascii="Times New Roman" w:hAnsi="Times New Roman" w:cs="Times New Roman"/>
            <w:sz w:val="20"/>
            <w:szCs w:val="20"/>
          </w:rPr>
          <w:instrText xml:space="preserve"> PAGE   \* MERGEFORMAT </w:instrText>
        </w:r>
        <w:r w:rsidRPr="006E7DAB">
          <w:rPr>
            <w:rFonts w:ascii="Times New Roman" w:hAnsi="Times New Roman" w:cs="Times New Roman"/>
            <w:sz w:val="20"/>
            <w:szCs w:val="20"/>
          </w:rPr>
          <w:fldChar w:fldCharType="separate"/>
        </w:r>
        <w:r w:rsidR="001C7164">
          <w:rPr>
            <w:rFonts w:ascii="Times New Roman" w:hAnsi="Times New Roman" w:cs="Times New Roman"/>
            <w:noProof/>
            <w:sz w:val="20"/>
            <w:szCs w:val="20"/>
          </w:rPr>
          <w:t>15</w:t>
        </w:r>
        <w:r w:rsidRPr="006E7DAB">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C5267E" w14:textId="77777777" w:rsidR="00196932" w:rsidRDefault="00196932" w:rsidP="00F34D93">
      <w:pPr>
        <w:spacing w:after="0" w:line="240" w:lineRule="auto"/>
      </w:pPr>
      <w:r>
        <w:separator/>
      </w:r>
    </w:p>
  </w:footnote>
  <w:footnote w:type="continuationSeparator" w:id="0">
    <w:p w14:paraId="6D14BD60" w14:textId="77777777" w:rsidR="00196932" w:rsidRDefault="00196932" w:rsidP="00F34D93">
      <w:pPr>
        <w:spacing w:after="0" w:line="240" w:lineRule="auto"/>
      </w:pPr>
      <w:r>
        <w:continuationSeparator/>
      </w:r>
    </w:p>
  </w:footnote>
  <w:footnote w:type="continuationNotice" w:id="1">
    <w:p w14:paraId="7789E66E" w14:textId="77777777" w:rsidR="00196932" w:rsidRDefault="00196932">
      <w:pPr>
        <w:spacing w:after="0" w:line="240" w:lineRule="auto"/>
      </w:pPr>
    </w:p>
  </w:footnote>
  <w:footnote w:id="2">
    <w:p w14:paraId="27B3A0F1" w14:textId="0E86F2BC" w:rsidR="00196932" w:rsidRPr="007F1078" w:rsidRDefault="00196932">
      <w:pPr>
        <w:pStyle w:val="FootnoteText"/>
        <w:rPr>
          <w:sz w:val="18"/>
          <w:szCs w:val="18"/>
        </w:rPr>
      </w:pPr>
      <w:r w:rsidRPr="006A323F">
        <w:rPr>
          <w:rStyle w:val="FootnoteReference"/>
          <w:sz w:val="18"/>
          <w:szCs w:val="18"/>
        </w:rPr>
        <w:footnoteRef/>
      </w:r>
      <w:r w:rsidRPr="006A323F">
        <w:rPr>
          <w:sz w:val="18"/>
          <w:szCs w:val="18"/>
        </w:rPr>
        <w:t xml:space="preserve"> </w:t>
      </w:r>
      <w:r w:rsidRPr="003448A0">
        <w:rPr>
          <w:sz w:val="18"/>
          <w:szCs w:val="18"/>
        </w:rPr>
        <w:t>This template was introduced during the all-state webinar "Risk Assessment Tool for Evaluating COVID-19 Flexibilities and Waivers</w:t>
      </w:r>
      <w:r w:rsidR="00757CA5">
        <w:rPr>
          <w:sz w:val="18"/>
          <w:szCs w:val="18"/>
        </w:rPr>
        <w:t>”</w:t>
      </w:r>
      <w:r w:rsidRPr="003448A0">
        <w:rPr>
          <w:sz w:val="18"/>
          <w:szCs w:val="18"/>
        </w:rPr>
        <w:t xml:space="preserve"> on</w:t>
      </w:r>
      <w:r w:rsidR="002F6222">
        <w:rPr>
          <w:sz w:val="18"/>
          <w:szCs w:val="18"/>
        </w:rPr>
        <w:t xml:space="preserve"> July 1</w:t>
      </w:r>
      <w:r w:rsidR="00ED7F9D">
        <w:rPr>
          <w:sz w:val="18"/>
          <w:szCs w:val="18"/>
        </w:rPr>
        <w:t>5,</w:t>
      </w:r>
      <w:r w:rsidR="002F6222">
        <w:rPr>
          <w:sz w:val="18"/>
          <w:szCs w:val="18"/>
        </w:rPr>
        <w:t xml:space="preserve"> 2021</w:t>
      </w:r>
      <w:r w:rsidRPr="003448A0">
        <w:rPr>
          <w:sz w:val="18"/>
          <w:szCs w:val="18"/>
        </w:rPr>
        <w:t xml:space="preserve">.  All materials from this webinar including the slides and risk assessment templates (in Word and Excel) are published online: </w:t>
      </w:r>
      <w:hyperlink r:id="rId1" w:history="1">
        <w:r w:rsidR="007F1078" w:rsidRPr="007F1078">
          <w:rPr>
            <w:rStyle w:val="Hyperlink"/>
            <w:sz w:val="18"/>
            <w:szCs w:val="18"/>
          </w:rPr>
          <w:t>https://www.medicaid.gov/resources-for-states/mac-learning-collaboratives/expanding-coverage-under-medicaid-and-chip/index.html</w:t>
        </w:r>
      </w:hyperlink>
    </w:p>
  </w:footnote>
  <w:footnote w:id="3">
    <w:p w14:paraId="3132154B" w14:textId="53D62A92" w:rsidR="00196932" w:rsidRPr="00F72116" w:rsidRDefault="00196932">
      <w:pPr>
        <w:pStyle w:val="FootnoteText"/>
        <w:rPr>
          <w:sz w:val="18"/>
          <w:szCs w:val="18"/>
        </w:rPr>
      </w:pPr>
      <w:r w:rsidRPr="003448A0">
        <w:rPr>
          <w:rStyle w:val="FootnoteReference"/>
          <w:sz w:val="18"/>
          <w:szCs w:val="18"/>
        </w:rPr>
        <w:footnoteRef/>
      </w:r>
      <w:r w:rsidRPr="003448A0">
        <w:rPr>
          <w:sz w:val="18"/>
          <w:szCs w:val="18"/>
        </w:rPr>
        <w:t xml:space="preserve"> U.S. Government Accountability Office (GAO) (2015). A Framework for Managing Fraud Risks in Federal Programs. Retrieved from: </w:t>
      </w:r>
      <w:hyperlink r:id="rId2" w:tooltip="A Framework for Managing Fraud Risks in Federal Programs" w:history="1">
        <w:r w:rsidRPr="003448A0">
          <w:rPr>
            <w:rStyle w:val="Hyperlink"/>
            <w:sz w:val="18"/>
            <w:szCs w:val="18"/>
          </w:rPr>
          <w:t>https://www.gao.gov/products/GAO-15-593SP</w:t>
        </w:r>
      </w:hyperlink>
      <w:r w:rsidRPr="003448A0">
        <w:rPr>
          <w:sz w:val="18"/>
          <w:szCs w:val="18"/>
        </w:rPr>
        <w:t xml:space="preserve">. </w:t>
      </w:r>
    </w:p>
  </w:footnote>
  <w:footnote w:id="4">
    <w:p w14:paraId="67CD09BF" w14:textId="2AF6D7A3" w:rsidR="00196932" w:rsidRDefault="00196932">
      <w:pPr>
        <w:pStyle w:val="FootnoteText"/>
      </w:pPr>
      <w:r w:rsidRPr="00FA3F34">
        <w:rPr>
          <w:rStyle w:val="FootnoteReference"/>
          <w:sz w:val="18"/>
          <w:szCs w:val="18"/>
        </w:rPr>
        <w:footnoteRef/>
      </w:r>
      <w:r w:rsidRPr="00FA3F34">
        <w:rPr>
          <w:sz w:val="18"/>
          <w:szCs w:val="18"/>
        </w:rPr>
        <w:t xml:space="preserve"> Policy source(s) for the COVID-19 Public Health Emergency may include (but are not limited to) Medicaid and CHIP State Plan Amendments (SPAs), Medicaid and CHIP Disaster Relief SPAs, </w:t>
      </w:r>
      <w:r>
        <w:rPr>
          <w:sz w:val="18"/>
          <w:szCs w:val="18"/>
        </w:rPr>
        <w:t xml:space="preserve">Medicaid and CHIP MAGI-Based </w:t>
      </w:r>
      <w:r w:rsidRPr="00FA3F34">
        <w:rPr>
          <w:sz w:val="18"/>
          <w:szCs w:val="18"/>
        </w:rPr>
        <w:t xml:space="preserve">Disaster </w:t>
      </w:r>
      <w:r>
        <w:rPr>
          <w:sz w:val="18"/>
          <w:szCs w:val="18"/>
        </w:rPr>
        <w:t>Relief Addendums</w:t>
      </w:r>
      <w:r w:rsidRPr="00FA3F34">
        <w:rPr>
          <w:sz w:val="18"/>
          <w:szCs w:val="18"/>
        </w:rPr>
        <w:t xml:space="preserve">, Section 1115 Waivers, Section 1135 Waivers, 1915 (c) Waivers, Appendix K amendments, legislation, guidance, and </w:t>
      </w:r>
      <w:r>
        <w:rPr>
          <w:sz w:val="18"/>
          <w:szCs w:val="18"/>
        </w:rPr>
        <w:t xml:space="preserve">other </w:t>
      </w:r>
      <w:r w:rsidRPr="00FA3F34">
        <w:rPr>
          <w:sz w:val="18"/>
          <w:szCs w:val="18"/>
        </w:rPr>
        <w:t>state policy changes</w:t>
      </w:r>
      <w:r w:rsidRPr="00437EC6">
        <w:rPr>
          <w:sz w:val="18"/>
          <w:szCs w:val="18"/>
        </w:rPr>
        <w:t xml:space="preserve">. </w:t>
      </w:r>
    </w:p>
  </w:footnote>
  <w:footnote w:id="5">
    <w:p w14:paraId="0A597E64" w14:textId="6E526F56" w:rsidR="00D62375" w:rsidRPr="00803163" w:rsidRDefault="00D62375">
      <w:pPr>
        <w:pStyle w:val="FootnoteText"/>
        <w:rPr>
          <w:sz w:val="18"/>
          <w:szCs w:val="18"/>
        </w:rPr>
      </w:pPr>
      <w:r w:rsidRPr="006A323F">
        <w:rPr>
          <w:rStyle w:val="FootnoteReference"/>
          <w:sz w:val="18"/>
          <w:szCs w:val="18"/>
        </w:rPr>
        <w:footnoteRef/>
      </w:r>
      <w:r w:rsidRPr="006A323F">
        <w:rPr>
          <w:sz w:val="18"/>
          <w:szCs w:val="18"/>
        </w:rPr>
        <w:t xml:space="preserve"> </w:t>
      </w:r>
      <w:r w:rsidR="00853E91">
        <w:rPr>
          <w:sz w:val="18"/>
          <w:szCs w:val="18"/>
        </w:rPr>
        <w:t>R</w:t>
      </w:r>
      <w:r>
        <w:rPr>
          <w:sz w:val="18"/>
          <w:szCs w:val="18"/>
        </w:rPr>
        <w:t>elevant federal regulations and other authorit</w:t>
      </w:r>
      <w:r w:rsidR="00853E91">
        <w:rPr>
          <w:sz w:val="18"/>
          <w:szCs w:val="18"/>
        </w:rPr>
        <w:t>ies</w:t>
      </w:r>
      <w:r>
        <w:rPr>
          <w:sz w:val="18"/>
          <w:szCs w:val="18"/>
        </w:rPr>
        <w:t xml:space="preserve"> for disaster-related flexibilities may be found in the </w:t>
      </w:r>
      <w:r w:rsidRPr="00D62375">
        <w:rPr>
          <w:sz w:val="18"/>
          <w:szCs w:val="18"/>
        </w:rPr>
        <w:t xml:space="preserve">Medicaid and CHIP </w:t>
      </w:r>
      <w:r w:rsidR="00167A6C">
        <w:rPr>
          <w:sz w:val="18"/>
          <w:szCs w:val="18"/>
        </w:rPr>
        <w:t>Disaster Response Toolkit</w:t>
      </w:r>
      <w:r w:rsidR="00B73706">
        <w:rPr>
          <w:sz w:val="18"/>
          <w:szCs w:val="18"/>
        </w:rPr>
        <w:t xml:space="preserve">, </w:t>
      </w:r>
      <w:r w:rsidRPr="00D62375">
        <w:rPr>
          <w:sz w:val="18"/>
          <w:szCs w:val="18"/>
        </w:rPr>
        <w:t>Inventory of Medicaid and CHIP Flexibilities and Authorities in the Event of a Disaster</w:t>
      </w:r>
      <w:r>
        <w:rPr>
          <w:sz w:val="18"/>
          <w:szCs w:val="18"/>
        </w:rPr>
        <w:t xml:space="preserve">, available at </w:t>
      </w:r>
      <w:hyperlink r:id="rId3" w:tooltip="Disaster Response Toolkit" w:history="1">
        <w:r w:rsidR="005C3E11" w:rsidRPr="00104BDF">
          <w:rPr>
            <w:rStyle w:val="Hyperlink"/>
            <w:sz w:val="18"/>
            <w:szCs w:val="18"/>
          </w:rPr>
          <w:t>https://www.medicaid.gov/resources-for-states/disaster-response-toolkit/index.html</w:t>
        </w:r>
      </w:hyperlink>
      <w:r w:rsidR="005C3E11">
        <w:rPr>
          <w:sz w:val="18"/>
          <w:szCs w:val="18"/>
        </w:rPr>
        <w:t xml:space="preserve"> </w:t>
      </w:r>
      <w:r w:rsidR="00C41DD0">
        <w:rPr>
          <w:sz w:val="18"/>
          <w:szCs w:val="18"/>
        </w:rPr>
        <w:t>.</w:t>
      </w:r>
    </w:p>
  </w:footnote>
  <w:footnote w:id="6">
    <w:p w14:paraId="6967AC9E" w14:textId="77777777" w:rsidR="00196932" w:rsidRDefault="00196932" w:rsidP="00F34D93">
      <w:pPr>
        <w:pStyle w:val="FootnoteText"/>
      </w:pPr>
      <w:r w:rsidRPr="003448A0">
        <w:rPr>
          <w:rStyle w:val="FootnoteReference"/>
          <w:sz w:val="18"/>
          <w:szCs w:val="18"/>
        </w:rPr>
        <w:footnoteRef/>
      </w:r>
      <w:r w:rsidRPr="003448A0">
        <w:rPr>
          <w:sz w:val="18"/>
          <w:szCs w:val="18"/>
        </w:rPr>
        <w:t xml:space="preserve"> Per the GAO’s Federal Internal Control Standards (GAO-14-704G, 7.03)</w:t>
      </w:r>
    </w:p>
  </w:footnote>
  <w:footnote w:id="7">
    <w:p w14:paraId="49562973" w14:textId="677FE44A" w:rsidR="00196932" w:rsidRDefault="00196932">
      <w:pPr>
        <w:pStyle w:val="FootnoteText"/>
      </w:pPr>
      <w:r w:rsidRPr="003448A0">
        <w:rPr>
          <w:rStyle w:val="FootnoteReference"/>
          <w:sz w:val="18"/>
          <w:szCs w:val="18"/>
        </w:rPr>
        <w:footnoteRef/>
      </w:r>
      <w:r w:rsidRPr="003448A0">
        <w:rPr>
          <w:sz w:val="18"/>
          <w:szCs w:val="18"/>
        </w:rPr>
        <w:t xml:space="preserve"> For example, allowing individuals to remain enrolled when they are no longer eligible to receive benefits may lead to improper payments and/or adverse findings during audits. This may result in a financial impact to the</w:t>
      </w:r>
      <w:r w:rsidRPr="00390625">
        <w:rPr>
          <w:sz w:val="18"/>
          <w:szCs w:val="18"/>
        </w:rPr>
        <w:t xml:space="preserve"> state’s Medicaid program if it is determined that the state will need to refund the Federal Government and may also impact the program’s reputation with one or more stakeholders. Given these</w:t>
      </w:r>
      <w:r w:rsidRPr="003C252A">
        <w:rPr>
          <w:sz w:val="18"/>
          <w:szCs w:val="18"/>
        </w:rPr>
        <w:t xml:space="preserve"> large potential impacts, management may determine that the tolerance for this type of risk is</w:t>
      </w:r>
      <w:r w:rsidRPr="008A44CF">
        <w:rPr>
          <w:sz w:val="18"/>
          <w:szCs w:val="18"/>
        </w:rPr>
        <w:t xml:space="preserve"> low (that is, the risk is very concerning).  Conversely, allowing temporarily enrolled pro</w:t>
      </w:r>
      <w:r w:rsidRPr="00C44FBA">
        <w:rPr>
          <w:sz w:val="18"/>
          <w:szCs w:val="18"/>
        </w:rPr>
        <w:t>viders to remain enrolled beyond the permitted timeframe could expose the state to potential fraud, waste, and abuse by unscrupulous providers. However, in this example, if a provider’s access to the billing system expires automatically every 365 days, the potential risk is time limited. Furthermore, other program integrity controls exist to monitor providers for potential fraud, waste, and abuse. Because management recognizes other routine processes exist to prevent a fraudulent provider from billing indefinitely, management may determine their tolerance for this risk is higher (that is, the risk is not very concerning).</w:t>
      </w:r>
    </w:p>
  </w:footnote>
  <w:footnote w:id="8">
    <w:p w14:paraId="09810AE1" w14:textId="77777777" w:rsidR="00196932" w:rsidRDefault="00196932">
      <w:pPr>
        <w:pStyle w:val="FootnoteText"/>
      </w:pPr>
      <w:r w:rsidRPr="003448A0">
        <w:rPr>
          <w:rStyle w:val="FootnoteReference"/>
          <w:sz w:val="18"/>
          <w:szCs w:val="18"/>
        </w:rPr>
        <w:footnoteRef/>
      </w:r>
      <w:r w:rsidRPr="003448A0">
        <w:rPr>
          <w:sz w:val="18"/>
          <w:szCs w:val="18"/>
        </w:rPr>
        <w:t xml:space="preserve"> For example, the state may have in place regular audits of a sample of eligibility determinations.  Those audits serve as an existing control.  The state </w:t>
      </w:r>
      <w:r w:rsidRPr="00E76EB4">
        <w:rPr>
          <w:sz w:val="18"/>
          <w:szCs w:val="18"/>
        </w:rPr>
        <w:t>may have residual risk to the extent that those audits and other data indicate that erroneous determinations</w:t>
      </w:r>
      <w:r w:rsidRPr="00390625">
        <w:rPr>
          <w:sz w:val="18"/>
          <w:szCs w:val="18"/>
        </w:rPr>
        <w:t xml:space="preserve"> are still occurring. If so, the state may decide the rate</w:t>
      </w:r>
      <w:r w:rsidRPr="003C252A">
        <w:rPr>
          <w:sz w:val="18"/>
          <w:szCs w:val="18"/>
        </w:rPr>
        <w:t xml:space="preserve"> of errors is higher than it is willing to accept.  If the state determines the rate </w:t>
      </w:r>
      <w:r w:rsidRPr="00C44FBA">
        <w:rPr>
          <w:sz w:val="18"/>
          <w:szCs w:val="18"/>
        </w:rPr>
        <w:t>of errors exceeds its risk tolerance, the state may come up with mitigation strategies that will reduce the issue to an acceptable level of tolerance.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227D2"/>
    <w:multiLevelType w:val="hybridMultilevel"/>
    <w:tmpl w:val="70784086"/>
    <w:lvl w:ilvl="0" w:tplc="547A2FA0">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A09283A"/>
    <w:multiLevelType w:val="hybridMultilevel"/>
    <w:tmpl w:val="D9F2A7C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 w15:restartNumberingAfterBreak="0">
    <w:nsid w:val="0F862A66"/>
    <w:multiLevelType w:val="hybridMultilevel"/>
    <w:tmpl w:val="BE986F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2C71416"/>
    <w:multiLevelType w:val="hybridMultilevel"/>
    <w:tmpl w:val="785AB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750D94"/>
    <w:multiLevelType w:val="hybridMultilevel"/>
    <w:tmpl w:val="6C28AD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E92429"/>
    <w:multiLevelType w:val="hybridMultilevel"/>
    <w:tmpl w:val="292E31CA"/>
    <w:lvl w:ilvl="0" w:tplc="267024DA">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DC355A"/>
    <w:multiLevelType w:val="hybridMultilevel"/>
    <w:tmpl w:val="08FAD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B15019"/>
    <w:multiLevelType w:val="multilevel"/>
    <w:tmpl w:val="0C1616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96321C6"/>
    <w:multiLevelType w:val="hybridMultilevel"/>
    <w:tmpl w:val="A4D88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DB1F91"/>
    <w:multiLevelType w:val="hybridMultilevel"/>
    <w:tmpl w:val="47FCFE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1E808A9"/>
    <w:multiLevelType w:val="multilevel"/>
    <w:tmpl w:val="0C1616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550F72C6"/>
    <w:multiLevelType w:val="hybridMultilevel"/>
    <w:tmpl w:val="D576C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806F4F"/>
    <w:multiLevelType w:val="multilevel"/>
    <w:tmpl w:val="0C1616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59E622A0"/>
    <w:multiLevelType w:val="hybridMultilevel"/>
    <w:tmpl w:val="B22CB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0C3AD9"/>
    <w:multiLevelType w:val="hybridMultilevel"/>
    <w:tmpl w:val="C9320C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887F0C"/>
    <w:multiLevelType w:val="hybridMultilevel"/>
    <w:tmpl w:val="F718E88E"/>
    <w:lvl w:ilvl="0" w:tplc="665E90B4">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CA5743"/>
    <w:multiLevelType w:val="hybridMultilevel"/>
    <w:tmpl w:val="EEF4B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6F43291"/>
    <w:multiLevelType w:val="hybridMultilevel"/>
    <w:tmpl w:val="CDCA4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1"/>
  </w:num>
  <w:num w:numId="3">
    <w:abstractNumId w:val="6"/>
  </w:num>
  <w:num w:numId="4">
    <w:abstractNumId w:val="16"/>
  </w:num>
  <w:num w:numId="5">
    <w:abstractNumId w:val="15"/>
  </w:num>
  <w:num w:numId="6">
    <w:abstractNumId w:val="1"/>
  </w:num>
  <w:num w:numId="7">
    <w:abstractNumId w:val="5"/>
  </w:num>
  <w:num w:numId="8">
    <w:abstractNumId w:val="17"/>
  </w:num>
  <w:num w:numId="9">
    <w:abstractNumId w:val="0"/>
  </w:num>
  <w:num w:numId="10">
    <w:abstractNumId w:val="12"/>
  </w:num>
  <w:num w:numId="11">
    <w:abstractNumId w:val="13"/>
  </w:num>
  <w:num w:numId="12">
    <w:abstractNumId w:val="4"/>
  </w:num>
  <w:num w:numId="13">
    <w:abstractNumId w:val="10"/>
  </w:num>
  <w:num w:numId="14">
    <w:abstractNumId w:val="3"/>
  </w:num>
  <w:num w:numId="15">
    <w:abstractNumId w:val="8"/>
  </w:num>
  <w:num w:numId="16">
    <w:abstractNumId w:val="9"/>
  </w:num>
  <w:num w:numId="17">
    <w:abstractNumId w:val="2"/>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D93"/>
    <w:rsid w:val="00002991"/>
    <w:rsid w:val="00003747"/>
    <w:rsid w:val="00005198"/>
    <w:rsid w:val="00006ED7"/>
    <w:rsid w:val="00007479"/>
    <w:rsid w:val="00010AD7"/>
    <w:rsid w:val="00013113"/>
    <w:rsid w:val="000139AF"/>
    <w:rsid w:val="00013E52"/>
    <w:rsid w:val="000146FF"/>
    <w:rsid w:val="00017036"/>
    <w:rsid w:val="00017AA9"/>
    <w:rsid w:val="00024B10"/>
    <w:rsid w:val="00025C38"/>
    <w:rsid w:val="00026757"/>
    <w:rsid w:val="000322C7"/>
    <w:rsid w:val="00035A10"/>
    <w:rsid w:val="0003752D"/>
    <w:rsid w:val="0005442F"/>
    <w:rsid w:val="00057E95"/>
    <w:rsid w:val="000604C2"/>
    <w:rsid w:val="0007170F"/>
    <w:rsid w:val="000810C1"/>
    <w:rsid w:val="00083602"/>
    <w:rsid w:val="0008424D"/>
    <w:rsid w:val="00090123"/>
    <w:rsid w:val="000931E9"/>
    <w:rsid w:val="00093333"/>
    <w:rsid w:val="00094229"/>
    <w:rsid w:val="0009568B"/>
    <w:rsid w:val="000A1FC6"/>
    <w:rsid w:val="000B1DFF"/>
    <w:rsid w:val="000B24EA"/>
    <w:rsid w:val="000B284D"/>
    <w:rsid w:val="000B75C9"/>
    <w:rsid w:val="000C37BE"/>
    <w:rsid w:val="000C43D6"/>
    <w:rsid w:val="000C5552"/>
    <w:rsid w:val="000E2EDC"/>
    <w:rsid w:val="000E50C0"/>
    <w:rsid w:val="000E7801"/>
    <w:rsid w:val="000E7D9B"/>
    <w:rsid w:val="000F3B41"/>
    <w:rsid w:val="001059B1"/>
    <w:rsid w:val="00110484"/>
    <w:rsid w:val="001114A6"/>
    <w:rsid w:val="001200BD"/>
    <w:rsid w:val="00122A3E"/>
    <w:rsid w:val="00125C1D"/>
    <w:rsid w:val="00131012"/>
    <w:rsid w:val="00136204"/>
    <w:rsid w:val="00140660"/>
    <w:rsid w:val="0014114B"/>
    <w:rsid w:val="00142091"/>
    <w:rsid w:val="00142EAC"/>
    <w:rsid w:val="00146EDD"/>
    <w:rsid w:val="001566A5"/>
    <w:rsid w:val="00162970"/>
    <w:rsid w:val="00164D2F"/>
    <w:rsid w:val="00166008"/>
    <w:rsid w:val="00167A6C"/>
    <w:rsid w:val="0017111D"/>
    <w:rsid w:val="00172037"/>
    <w:rsid w:val="00174505"/>
    <w:rsid w:val="00176FB4"/>
    <w:rsid w:val="00185AD6"/>
    <w:rsid w:val="001901B9"/>
    <w:rsid w:val="00196932"/>
    <w:rsid w:val="001A3E78"/>
    <w:rsid w:val="001A4A7E"/>
    <w:rsid w:val="001A7070"/>
    <w:rsid w:val="001B2DA3"/>
    <w:rsid w:val="001B3D78"/>
    <w:rsid w:val="001B7D79"/>
    <w:rsid w:val="001C1C74"/>
    <w:rsid w:val="001C7164"/>
    <w:rsid w:val="001D08A7"/>
    <w:rsid w:val="001D3C9F"/>
    <w:rsid w:val="001D595E"/>
    <w:rsid w:val="001E26F4"/>
    <w:rsid w:val="001E38CD"/>
    <w:rsid w:val="001E6DD0"/>
    <w:rsid w:val="001F36EB"/>
    <w:rsid w:val="001F5D5D"/>
    <w:rsid w:val="002019A5"/>
    <w:rsid w:val="00201F9E"/>
    <w:rsid w:val="002058AC"/>
    <w:rsid w:val="0021487B"/>
    <w:rsid w:val="002164D8"/>
    <w:rsid w:val="002164FA"/>
    <w:rsid w:val="00220D0A"/>
    <w:rsid w:val="0022337B"/>
    <w:rsid w:val="00224C51"/>
    <w:rsid w:val="00230077"/>
    <w:rsid w:val="002325C2"/>
    <w:rsid w:val="00232E58"/>
    <w:rsid w:val="0023523E"/>
    <w:rsid w:val="00242711"/>
    <w:rsid w:val="0024524B"/>
    <w:rsid w:val="00250B59"/>
    <w:rsid w:val="00254472"/>
    <w:rsid w:val="00254DB0"/>
    <w:rsid w:val="00255B7D"/>
    <w:rsid w:val="00256913"/>
    <w:rsid w:val="0026538C"/>
    <w:rsid w:val="0026695E"/>
    <w:rsid w:val="00275179"/>
    <w:rsid w:val="0028344F"/>
    <w:rsid w:val="0028601E"/>
    <w:rsid w:val="0029381D"/>
    <w:rsid w:val="00294C55"/>
    <w:rsid w:val="0029549E"/>
    <w:rsid w:val="002A2B97"/>
    <w:rsid w:val="002A5EE3"/>
    <w:rsid w:val="002A7235"/>
    <w:rsid w:val="002A79DA"/>
    <w:rsid w:val="002B2FD1"/>
    <w:rsid w:val="002B5C30"/>
    <w:rsid w:val="002C161C"/>
    <w:rsid w:val="002C1A6B"/>
    <w:rsid w:val="002C321E"/>
    <w:rsid w:val="002C41D7"/>
    <w:rsid w:val="002C5649"/>
    <w:rsid w:val="002C6017"/>
    <w:rsid w:val="002C6A53"/>
    <w:rsid w:val="002D05A8"/>
    <w:rsid w:val="002D5483"/>
    <w:rsid w:val="002E54B6"/>
    <w:rsid w:val="002F6222"/>
    <w:rsid w:val="0030184E"/>
    <w:rsid w:val="00304EC0"/>
    <w:rsid w:val="0030520A"/>
    <w:rsid w:val="00311716"/>
    <w:rsid w:val="00311F68"/>
    <w:rsid w:val="00317E0E"/>
    <w:rsid w:val="00325C20"/>
    <w:rsid w:val="00326A71"/>
    <w:rsid w:val="0033746D"/>
    <w:rsid w:val="0034426B"/>
    <w:rsid w:val="003448A0"/>
    <w:rsid w:val="00345B27"/>
    <w:rsid w:val="0035137D"/>
    <w:rsid w:val="00354637"/>
    <w:rsid w:val="003602F4"/>
    <w:rsid w:val="00360C21"/>
    <w:rsid w:val="0036599D"/>
    <w:rsid w:val="00367483"/>
    <w:rsid w:val="003702B7"/>
    <w:rsid w:val="00372CA7"/>
    <w:rsid w:val="00375C36"/>
    <w:rsid w:val="0038222D"/>
    <w:rsid w:val="00390625"/>
    <w:rsid w:val="0039620F"/>
    <w:rsid w:val="0039687F"/>
    <w:rsid w:val="003A148B"/>
    <w:rsid w:val="003A7D2B"/>
    <w:rsid w:val="003B156C"/>
    <w:rsid w:val="003B1875"/>
    <w:rsid w:val="003B24FD"/>
    <w:rsid w:val="003B43EE"/>
    <w:rsid w:val="003B71F5"/>
    <w:rsid w:val="003C252A"/>
    <w:rsid w:val="003C72A2"/>
    <w:rsid w:val="003D0697"/>
    <w:rsid w:val="003D5F07"/>
    <w:rsid w:val="003F06C7"/>
    <w:rsid w:val="003F1044"/>
    <w:rsid w:val="003F1082"/>
    <w:rsid w:val="003F6303"/>
    <w:rsid w:val="004001C7"/>
    <w:rsid w:val="00400506"/>
    <w:rsid w:val="00400939"/>
    <w:rsid w:val="004033E9"/>
    <w:rsid w:val="00407417"/>
    <w:rsid w:val="004129C2"/>
    <w:rsid w:val="0041347F"/>
    <w:rsid w:val="00416ABD"/>
    <w:rsid w:val="00417F20"/>
    <w:rsid w:val="00422402"/>
    <w:rsid w:val="0042394F"/>
    <w:rsid w:val="00431064"/>
    <w:rsid w:val="00433505"/>
    <w:rsid w:val="00435D77"/>
    <w:rsid w:val="0043655B"/>
    <w:rsid w:val="00437EC6"/>
    <w:rsid w:val="00441A23"/>
    <w:rsid w:val="00441C97"/>
    <w:rsid w:val="0044494C"/>
    <w:rsid w:val="00446BFC"/>
    <w:rsid w:val="00450A62"/>
    <w:rsid w:val="00452C5E"/>
    <w:rsid w:val="004541CD"/>
    <w:rsid w:val="00454BD6"/>
    <w:rsid w:val="00464C0F"/>
    <w:rsid w:val="00465A4B"/>
    <w:rsid w:val="00470738"/>
    <w:rsid w:val="00470E07"/>
    <w:rsid w:val="00471F6C"/>
    <w:rsid w:val="00472BDB"/>
    <w:rsid w:val="00473E2B"/>
    <w:rsid w:val="004757E0"/>
    <w:rsid w:val="00477DA9"/>
    <w:rsid w:val="00482DFA"/>
    <w:rsid w:val="00484C91"/>
    <w:rsid w:val="00485D52"/>
    <w:rsid w:val="0049218C"/>
    <w:rsid w:val="00496432"/>
    <w:rsid w:val="00496837"/>
    <w:rsid w:val="00496CFA"/>
    <w:rsid w:val="004A0623"/>
    <w:rsid w:val="004A13C6"/>
    <w:rsid w:val="004A37D7"/>
    <w:rsid w:val="004A58AD"/>
    <w:rsid w:val="004B18AF"/>
    <w:rsid w:val="004B3603"/>
    <w:rsid w:val="004B5419"/>
    <w:rsid w:val="004B653A"/>
    <w:rsid w:val="004B67CA"/>
    <w:rsid w:val="004C5C46"/>
    <w:rsid w:val="004C64EE"/>
    <w:rsid w:val="004C661A"/>
    <w:rsid w:val="004D12C7"/>
    <w:rsid w:val="004D2262"/>
    <w:rsid w:val="004D30AE"/>
    <w:rsid w:val="004D586B"/>
    <w:rsid w:val="004E5344"/>
    <w:rsid w:val="004F14B4"/>
    <w:rsid w:val="004F3557"/>
    <w:rsid w:val="004F6534"/>
    <w:rsid w:val="00503683"/>
    <w:rsid w:val="005101C6"/>
    <w:rsid w:val="00514B96"/>
    <w:rsid w:val="00514BB4"/>
    <w:rsid w:val="00520EE9"/>
    <w:rsid w:val="005236E7"/>
    <w:rsid w:val="005250D3"/>
    <w:rsid w:val="00534516"/>
    <w:rsid w:val="00534F98"/>
    <w:rsid w:val="00535BDC"/>
    <w:rsid w:val="005415E2"/>
    <w:rsid w:val="0054438B"/>
    <w:rsid w:val="005445E3"/>
    <w:rsid w:val="005533B1"/>
    <w:rsid w:val="00553B3C"/>
    <w:rsid w:val="005541D5"/>
    <w:rsid w:val="0055739B"/>
    <w:rsid w:val="00560B52"/>
    <w:rsid w:val="00561D23"/>
    <w:rsid w:val="00570521"/>
    <w:rsid w:val="005714B6"/>
    <w:rsid w:val="005726F0"/>
    <w:rsid w:val="00572FDB"/>
    <w:rsid w:val="00586071"/>
    <w:rsid w:val="00586942"/>
    <w:rsid w:val="00591688"/>
    <w:rsid w:val="00593CCE"/>
    <w:rsid w:val="00594BDC"/>
    <w:rsid w:val="0059610A"/>
    <w:rsid w:val="005A7FE1"/>
    <w:rsid w:val="005B2CDC"/>
    <w:rsid w:val="005B2D88"/>
    <w:rsid w:val="005B3F61"/>
    <w:rsid w:val="005B6B4F"/>
    <w:rsid w:val="005C1FF8"/>
    <w:rsid w:val="005C3E11"/>
    <w:rsid w:val="005C511D"/>
    <w:rsid w:val="005D549C"/>
    <w:rsid w:val="005D75B9"/>
    <w:rsid w:val="005D799C"/>
    <w:rsid w:val="005E1B4C"/>
    <w:rsid w:val="005E1CA8"/>
    <w:rsid w:val="005E23AF"/>
    <w:rsid w:val="005E6C7F"/>
    <w:rsid w:val="005F1690"/>
    <w:rsid w:val="00602E27"/>
    <w:rsid w:val="00606187"/>
    <w:rsid w:val="00614312"/>
    <w:rsid w:val="006155AF"/>
    <w:rsid w:val="006159D7"/>
    <w:rsid w:val="006162B8"/>
    <w:rsid w:val="00620FAA"/>
    <w:rsid w:val="00622A05"/>
    <w:rsid w:val="00624B33"/>
    <w:rsid w:val="00635C69"/>
    <w:rsid w:val="006361EE"/>
    <w:rsid w:val="006418CC"/>
    <w:rsid w:val="006438CF"/>
    <w:rsid w:val="00652B24"/>
    <w:rsid w:val="00660DE9"/>
    <w:rsid w:val="006632CE"/>
    <w:rsid w:val="006637D7"/>
    <w:rsid w:val="00666D0E"/>
    <w:rsid w:val="006706FD"/>
    <w:rsid w:val="00671271"/>
    <w:rsid w:val="00674BA8"/>
    <w:rsid w:val="00680A0A"/>
    <w:rsid w:val="00681095"/>
    <w:rsid w:val="00681440"/>
    <w:rsid w:val="006817D4"/>
    <w:rsid w:val="006820C2"/>
    <w:rsid w:val="00687D46"/>
    <w:rsid w:val="006910F3"/>
    <w:rsid w:val="00691F42"/>
    <w:rsid w:val="0069214E"/>
    <w:rsid w:val="006923E7"/>
    <w:rsid w:val="00695D4C"/>
    <w:rsid w:val="0069709D"/>
    <w:rsid w:val="006A323F"/>
    <w:rsid w:val="006A3D31"/>
    <w:rsid w:val="006A4BDA"/>
    <w:rsid w:val="006B6ADE"/>
    <w:rsid w:val="006D020C"/>
    <w:rsid w:val="006D4A31"/>
    <w:rsid w:val="006D501E"/>
    <w:rsid w:val="006E0CA6"/>
    <w:rsid w:val="006E1A63"/>
    <w:rsid w:val="006E3A31"/>
    <w:rsid w:val="006E492E"/>
    <w:rsid w:val="006E7209"/>
    <w:rsid w:val="006E74FF"/>
    <w:rsid w:val="006F46B3"/>
    <w:rsid w:val="006F79AA"/>
    <w:rsid w:val="006F79C3"/>
    <w:rsid w:val="006F7BFE"/>
    <w:rsid w:val="0071170F"/>
    <w:rsid w:val="00711B51"/>
    <w:rsid w:val="007123C1"/>
    <w:rsid w:val="00712838"/>
    <w:rsid w:val="00720AF5"/>
    <w:rsid w:val="00722322"/>
    <w:rsid w:val="007366FC"/>
    <w:rsid w:val="007436BB"/>
    <w:rsid w:val="007457CC"/>
    <w:rsid w:val="00754593"/>
    <w:rsid w:val="00755B29"/>
    <w:rsid w:val="00757ACF"/>
    <w:rsid w:val="00757CA5"/>
    <w:rsid w:val="00770CC4"/>
    <w:rsid w:val="00774094"/>
    <w:rsid w:val="0077427F"/>
    <w:rsid w:val="0078178F"/>
    <w:rsid w:val="007840DD"/>
    <w:rsid w:val="00787166"/>
    <w:rsid w:val="00787445"/>
    <w:rsid w:val="007907E3"/>
    <w:rsid w:val="00791DB6"/>
    <w:rsid w:val="00792AC0"/>
    <w:rsid w:val="00795DFE"/>
    <w:rsid w:val="00796505"/>
    <w:rsid w:val="007A04E2"/>
    <w:rsid w:val="007B37D3"/>
    <w:rsid w:val="007C58DC"/>
    <w:rsid w:val="007C6E3C"/>
    <w:rsid w:val="007D0921"/>
    <w:rsid w:val="007D27C3"/>
    <w:rsid w:val="007D749C"/>
    <w:rsid w:val="007E318D"/>
    <w:rsid w:val="007F1078"/>
    <w:rsid w:val="007F3663"/>
    <w:rsid w:val="007F5FEB"/>
    <w:rsid w:val="007F7A90"/>
    <w:rsid w:val="00803163"/>
    <w:rsid w:val="00803A54"/>
    <w:rsid w:val="00804DC1"/>
    <w:rsid w:val="0081058F"/>
    <w:rsid w:val="00820714"/>
    <w:rsid w:val="00831A15"/>
    <w:rsid w:val="008341CA"/>
    <w:rsid w:val="0083424D"/>
    <w:rsid w:val="00837858"/>
    <w:rsid w:val="00843B45"/>
    <w:rsid w:val="00852897"/>
    <w:rsid w:val="00853E91"/>
    <w:rsid w:val="00857DDF"/>
    <w:rsid w:val="0086039F"/>
    <w:rsid w:val="0087058D"/>
    <w:rsid w:val="008709B8"/>
    <w:rsid w:val="00875B15"/>
    <w:rsid w:val="00881E3B"/>
    <w:rsid w:val="00882A98"/>
    <w:rsid w:val="00890D50"/>
    <w:rsid w:val="008A44CF"/>
    <w:rsid w:val="008A668A"/>
    <w:rsid w:val="008A6FBE"/>
    <w:rsid w:val="008B1A7A"/>
    <w:rsid w:val="008B1E23"/>
    <w:rsid w:val="008C4577"/>
    <w:rsid w:val="008D7F96"/>
    <w:rsid w:val="008E365A"/>
    <w:rsid w:val="008E4E19"/>
    <w:rsid w:val="008E564D"/>
    <w:rsid w:val="00905E03"/>
    <w:rsid w:val="00907BB8"/>
    <w:rsid w:val="00913C80"/>
    <w:rsid w:val="00916D5C"/>
    <w:rsid w:val="0092351A"/>
    <w:rsid w:val="0092479A"/>
    <w:rsid w:val="009250FC"/>
    <w:rsid w:val="00943C4F"/>
    <w:rsid w:val="00950744"/>
    <w:rsid w:val="0095221E"/>
    <w:rsid w:val="009534BD"/>
    <w:rsid w:val="009569C7"/>
    <w:rsid w:val="0096062D"/>
    <w:rsid w:val="00960979"/>
    <w:rsid w:val="009634D2"/>
    <w:rsid w:val="00964C21"/>
    <w:rsid w:val="009716AD"/>
    <w:rsid w:val="00981845"/>
    <w:rsid w:val="00982681"/>
    <w:rsid w:val="0098278A"/>
    <w:rsid w:val="00990EC2"/>
    <w:rsid w:val="00993DB0"/>
    <w:rsid w:val="009A46CB"/>
    <w:rsid w:val="009B2174"/>
    <w:rsid w:val="009C732A"/>
    <w:rsid w:val="009D12A0"/>
    <w:rsid w:val="009D24B1"/>
    <w:rsid w:val="009D7158"/>
    <w:rsid w:val="009D78CA"/>
    <w:rsid w:val="009E15B6"/>
    <w:rsid w:val="009E4048"/>
    <w:rsid w:val="009E4DE7"/>
    <w:rsid w:val="009F056E"/>
    <w:rsid w:val="009F34A8"/>
    <w:rsid w:val="00A002C5"/>
    <w:rsid w:val="00A04981"/>
    <w:rsid w:val="00A04EDF"/>
    <w:rsid w:val="00A1742C"/>
    <w:rsid w:val="00A1763A"/>
    <w:rsid w:val="00A17AD9"/>
    <w:rsid w:val="00A23C00"/>
    <w:rsid w:val="00A261B5"/>
    <w:rsid w:val="00A30718"/>
    <w:rsid w:val="00A308C9"/>
    <w:rsid w:val="00A311E5"/>
    <w:rsid w:val="00A31E0F"/>
    <w:rsid w:val="00A366D3"/>
    <w:rsid w:val="00A378A9"/>
    <w:rsid w:val="00A42717"/>
    <w:rsid w:val="00A43463"/>
    <w:rsid w:val="00A44BB3"/>
    <w:rsid w:val="00A50AA0"/>
    <w:rsid w:val="00A524C1"/>
    <w:rsid w:val="00A54D61"/>
    <w:rsid w:val="00A57BF1"/>
    <w:rsid w:val="00A62592"/>
    <w:rsid w:val="00A65B49"/>
    <w:rsid w:val="00A6740F"/>
    <w:rsid w:val="00A73578"/>
    <w:rsid w:val="00A82820"/>
    <w:rsid w:val="00A849D4"/>
    <w:rsid w:val="00A84A65"/>
    <w:rsid w:val="00A94C5F"/>
    <w:rsid w:val="00A96402"/>
    <w:rsid w:val="00AA09F3"/>
    <w:rsid w:val="00AA3F7A"/>
    <w:rsid w:val="00AB6801"/>
    <w:rsid w:val="00AC0014"/>
    <w:rsid w:val="00AC16B9"/>
    <w:rsid w:val="00AC2D15"/>
    <w:rsid w:val="00AC3506"/>
    <w:rsid w:val="00AC3890"/>
    <w:rsid w:val="00AC5B86"/>
    <w:rsid w:val="00AC7937"/>
    <w:rsid w:val="00AD4F36"/>
    <w:rsid w:val="00AD5011"/>
    <w:rsid w:val="00AD6142"/>
    <w:rsid w:val="00AE2C8C"/>
    <w:rsid w:val="00AE3BEE"/>
    <w:rsid w:val="00AE44F2"/>
    <w:rsid w:val="00AE56D5"/>
    <w:rsid w:val="00AF1432"/>
    <w:rsid w:val="00AF732D"/>
    <w:rsid w:val="00B0233F"/>
    <w:rsid w:val="00B05F3F"/>
    <w:rsid w:val="00B1258D"/>
    <w:rsid w:val="00B1280C"/>
    <w:rsid w:val="00B14B92"/>
    <w:rsid w:val="00B20ECC"/>
    <w:rsid w:val="00B3064D"/>
    <w:rsid w:val="00B40E1A"/>
    <w:rsid w:val="00B43331"/>
    <w:rsid w:val="00B43449"/>
    <w:rsid w:val="00B4413D"/>
    <w:rsid w:val="00B4446E"/>
    <w:rsid w:val="00B52628"/>
    <w:rsid w:val="00B6104D"/>
    <w:rsid w:val="00B66E77"/>
    <w:rsid w:val="00B73706"/>
    <w:rsid w:val="00B7678C"/>
    <w:rsid w:val="00B816C0"/>
    <w:rsid w:val="00B82F92"/>
    <w:rsid w:val="00B86069"/>
    <w:rsid w:val="00B91390"/>
    <w:rsid w:val="00B94541"/>
    <w:rsid w:val="00B94B3A"/>
    <w:rsid w:val="00BA0092"/>
    <w:rsid w:val="00BA15F6"/>
    <w:rsid w:val="00BA2DA9"/>
    <w:rsid w:val="00BA4481"/>
    <w:rsid w:val="00BB0492"/>
    <w:rsid w:val="00BB4612"/>
    <w:rsid w:val="00BC4575"/>
    <w:rsid w:val="00BD17C1"/>
    <w:rsid w:val="00BD1807"/>
    <w:rsid w:val="00BD1D35"/>
    <w:rsid w:val="00BD31F0"/>
    <w:rsid w:val="00BD34A0"/>
    <w:rsid w:val="00BE0C25"/>
    <w:rsid w:val="00BE20E9"/>
    <w:rsid w:val="00BF64EA"/>
    <w:rsid w:val="00BF7B41"/>
    <w:rsid w:val="00C00756"/>
    <w:rsid w:val="00C00D0B"/>
    <w:rsid w:val="00C01073"/>
    <w:rsid w:val="00C0478B"/>
    <w:rsid w:val="00C071CE"/>
    <w:rsid w:val="00C075C2"/>
    <w:rsid w:val="00C16F67"/>
    <w:rsid w:val="00C21140"/>
    <w:rsid w:val="00C25354"/>
    <w:rsid w:val="00C25779"/>
    <w:rsid w:val="00C25A05"/>
    <w:rsid w:val="00C32243"/>
    <w:rsid w:val="00C327C1"/>
    <w:rsid w:val="00C372C3"/>
    <w:rsid w:val="00C41DD0"/>
    <w:rsid w:val="00C43E55"/>
    <w:rsid w:val="00C44FBA"/>
    <w:rsid w:val="00C45D88"/>
    <w:rsid w:val="00C67956"/>
    <w:rsid w:val="00C7101D"/>
    <w:rsid w:val="00C753B0"/>
    <w:rsid w:val="00C76C4B"/>
    <w:rsid w:val="00C810E5"/>
    <w:rsid w:val="00C86CDD"/>
    <w:rsid w:val="00C87B49"/>
    <w:rsid w:val="00C937D3"/>
    <w:rsid w:val="00C9788F"/>
    <w:rsid w:val="00CA24FD"/>
    <w:rsid w:val="00CA5F47"/>
    <w:rsid w:val="00CA7C61"/>
    <w:rsid w:val="00CB15F1"/>
    <w:rsid w:val="00CC23F9"/>
    <w:rsid w:val="00CC2981"/>
    <w:rsid w:val="00CC515D"/>
    <w:rsid w:val="00CD39BA"/>
    <w:rsid w:val="00CD517B"/>
    <w:rsid w:val="00CE1531"/>
    <w:rsid w:val="00CE2F35"/>
    <w:rsid w:val="00CE592C"/>
    <w:rsid w:val="00CF7725"/>
    <w:rsid w:val="00CF7ACA"/>
    <w:rsid w:val="00D0481B"/>
    <w:rsid w:val="00D05342"/>
    <w:rsid w:val="00D156F9"/>
    <w:rsid w:val="00D227C0"/>
    <w:rsid w:val="00D23596"/>
    <w:rsid w:val="00D24DD7"/>
    <w:rsid w:val="00D300DE"/>
    <w:rsid w:val="00D3039E"/>
    <w:rsid w:val="00D303EE"/>
    <w:rsid w:val="00D30654"/>
    <w:rsid w:val="00D32660"/>
    <w:rsid w:val="00D377B5"/>
    <w:rsid w:val="00D44AE2"/>
    <w:rsid w:val="00D45503"/>
    <w:rsid w:val="00D45DAE"/>
    <w:rsid w:val="00D469D4"/>
    <w:rsid w:val="00D51A48"/>
    <w:rsid w:val="00D51C5B"/>
    <w:rsid w:val="00D52561"/>
    <w:rsid w:val="00D61B66"/>
    <w:rsid w:val="00D62375"/>
    <w:rsid w:val="00D74361"/>
    <w:rsid w:val="00D75F52"/>
    <w:rsid w:val="00D770CB"/>
    <w:rsid w:val="00D8215D"/>
    <w:rsid w:val="00D831CC"/>
    <w:rsid w:val="00D836CD"/>
    <w:rsid w:val="00D934E1"/>
    <w:rsid w:val="00DA4111"/>
    <w:rsid w:val="00DB7F73"/>
    <w:rsid w:val="00DC081A"/>
    <w:rsid w:val="00DC42A0"/>
    <w:rsid w:val="00DD2E61"/>
    <w:rsid w:val="00DE23C7"/>
    <w:rsid w:val="00DE3DE7"/>
    <w:rsid w:val="00DE40C9"/>
    <w:rsid w:val="00DF0CC7"/>
    <w:rsid w:val="00DF53FF"/>
    <w:rsid w:val="00E02D55"/>
    <w:rsid w:val="00E0348B"/>
    <w:rsid w:val="00E056C1"/>
    <w:rsid w:val="00E05C11"/>
    <w:rsid w:val="00E1425E"/>
    <w:rsid w:val="00E22E1A"/>
    <w:rsid w:val="00E2771B"/>
    <w:rsid w:val="00E302C8"/>
    <w:rsid w:val="00E30816"/>
    <w:rsid w:val="00E35855"/>
    <w:rsid w:val="00E403C7"/>
    <w:rsid w:val="00E44F5E"/>
    <w:rsid w:val="00E50F59"/>
    <w:rsid w:val="00E56A62"/>
    <w:rsid w:val="00E56AC1"/>
    <w:rsid w:val="00E571B7"/>
    <w:rsid w:val="00E57744"/>
    <w:rsid w:val="00E73EFE"/>
    <w:rsid w:val="00E76EB4"/>
    <w:rsid w:val="00E77F88"/>
    <w:rsid w:val="00E86449"/>
    <w:rsid w:val="00E8736D"/>
    <w:rsid w:val="00E9011E"/>
    <w:rsid w:val="00E91799"/>
    <w:rsid w:val="00E960A8"/>
    <w:rsid w:val="00EA0852"/>
    <w:rsid w:val="00EA14D4"/>
    <w:rsid w:val="00EA228B"/>
    <w:rsid w:val="00EA7A9C"/>
    <w:rsid w:val="00EB62BF"/>
    <w:rsid w:val="00EB6323"/>
    <w:rsid w:val="00EC110D"/>
    <w:rsid w:val="00EC447D"/>
    <w:rsid w:val="00EC6512"/>
    <w:rsid w:val="00EC793D"/>
    <w:rsid w:val="00ED2708"/>
    <w:rsid w:val="00ED408A"/>
    <w:rsid w:val="00ED7F9D"/>
    <w:rsid w:val="00EE00F2"/>
    <w:rsid w:val="00EE03AF"/>
    <w:rsid w:val="00EE0EF0"/>
    <w:rsid w:val="00EE18DF"/>
    <w:rsid w:val="00EF054F"/>
    <w:rsid w:val="00F04151"/>
    <w:rsid w:val="00F04D77"/>
    <w:rsid w:val="00F100D0"/>
    <w:rsid w:val="00F123A3"/>
    <w:rsid w:val="00F159D4"/>
    <w:rsid w:val="00F15FE3"/>
    <w:rsid w:val="00F16DD7"/>
    <w:rsid w:val="00F30983"/>
    <w:rsid w:val="00F31116"/>
    <w:rsid w:val="00F34D93"/>
    <w:rsid w:val="00F37ACE"/>
    <w:rsid w:val="00F43042"/>
    <w:rsid w:val="00F44089"/>
    <w:rsid w:val="00F44E5B"/>
    <w:rsid w:val="00F57FA9"/>
    <w:rsid w:val="00F6246A"/>
    <w:rsid w:val="00F70C61"/>
    <w:rsid w:val="00F72116"/>
    <w:rsid w:val="00F73FDD"/>
    <w:rsid w:val="00F8467C"/>
    <w:rsid w:val="00F90615"/>
    <w:rsid w:val="00F94B08"/>
    <w:rsid w:val="00F94E11"/>
    <w:rsid w:val="00FA2250"/>
    <w:rsid w:val="00FA36BC"/>
    <w:rsid w:val="00FA3F34"/>
    <w:rsid w:val="00FB450B"/>
    <w:rsid w:val="00FB5800"/>
    <w:rsid w:val="00FC2DFE"/>
    <w:rsid w:val="00FC3711"/>
    <w:rsid w:val="00FC4FA1"/>
    <w:rsid w:val="00FC533B"/>
    <w:rsid w:val="00FC5388"/>
    <w:rsid w:val="00FC6D01"/>
    <w:rsid w:val="00FD4860"/>
    <w:rsid w:val="00FE6723"/>
    <w:rsid w:val="00FF2628"/>
    <w:rsid w:val="00FF319B"/>
    <w:rsid w:val="00FF3F69"/>
    <w:rsid w:val="00FF656E"/>
    <w:rsid w:val="00FF78E4"/>
    <w:rsid w:val="14D5994C"/>
    <w:rsid w:val="2FF4228A"/>
    <w:rsid w:val="36B04788"/>
    <w:rsid w:val="43097039"/>
    <w:rsid w:val="5EF068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D678CB1"/>
  <w15:chartTrackingRefBased/>
  <w15:docId w15:val="{4C89D907-81DF-442B-8FAB-734C2BF20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4D9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4D93"/>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F34D93"/>
    <w:pPr>
      <w:ind w:left="720"/>
      <w:contextualSpacing/>
    </w:pPr>
  </w:style>
  <w:style w:type="table" w:styleId="TableGrid">
    <w:name w:val="Table Grid"/>
    <w:basedOn w:val="TableNormal"/>
    <w:uiPriority w:val="39"/>
    <w:rsid w:val="00F34D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34D93"/>
    <w:rPr>
      <w:color w:val="0563C1" w:themeColor="hyperlink"/>
      <w:u w:val="single"/>
    </w:rPr>
  </w:style>
  <w:style w:type="paragraph" w:styleId="FootnoteText">
    <w:name w:val="footnote text"/>
    <w:basedOn w:val="Normal"/>
    <w:link w:val="FootnoteTextChar"/>
    <w:uiPriority w:val="99"/>
    <w:unhideWhenUsed/>
    <w:rsid w:val="00F34D93"/>
    <w:pPr>
      <w:spacing w:after="0" w:line="240" w:lineRule="auto"/>
    </w:pPr>
    <w:rPr>
      <w:sz w:val="20"/>
      <w:szCs w:val="20"/>
    </w:rPr>
  </w:style>
  <w:style w:type="character" w:customStyle="1" w:styleId="FootnoteTextChar">
    <w:name w:val="Footnote Text Char"/>
    <w:basedOn w:val="DefaultParagraphFont"/>
    <w:link w:val="FootnoteText"/>
    <w:uiPriority w:val="99"/>
    <w:rsid w:val="00F34D93"/>
    <w:rPr>
      <w:sz w:val="20"/>
      <w:szCs w:val="20"/>
    </w:rPr>
  </w:style>
  <w:style w:type="character" w:styleId="FootnoteReference">
    <w:name w:val="footnote reference"/>
    <w:basedOn w:val="DefaultParagraphFont"/>
    <w:uiPriority w:val="99"/>
    <w:semiHidden/>
    <w:unhideWhenUsed/>
    <w:rsid w:val="00F34D93"/>
    <w:rPr>
      <w:vertAlign w:val="superscript"/>
    </w:rPr>
  </w:style>
  <w:style w:type="paragraph" w:styleId="Footer">
    <w:name w:val="footer"/>
    <w:basedOn w:val="Normal"/>
    <w:link w:val="FooterChar"/>
    <w:uiPriority w:val="99"/>
    <w:unhideWhenUsed/>
    <w:rsid w:val="00F34D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4D93"/>
  </w:style>
  <w:style w:type="character" w:styleId="CommentReference">
    <w:name w:val="annotation reference"/>
    <w:basedOn w:val="DefaultParagraphFont"/>
    <w:uiPriority w:val="99"/>
    <w:semiHidden/>
    <w:unhideWhenUsed/>
    <w:rsid w:val="00620FAA"/>
    <w:rPr>
      <w:sz w:val="16"/>
      <w:szCs w:val="16"/>
    </w:rPr>
  </w:style>
  <w:style w:type="paragraph" w:styleId="CommentText">
    <w:name w:val="annotation text"/>
    <w:basedOn w:val="Normal"/>
    <w:link w:val="CommentTextChar"/>
    <w:uiPriority w:val="99"/>
    <w:unhideWhenUsed/>
    <w:rsid w:val="00620FAA"/>
    <w:pPr>
      <w:spacing w:line="240" w:lineRule="auto"/>
    </w:pPr>
    <w:rPr>
      <w:sz w:val="20"/>
      <w:szCs w:val="20"/>
    </w:rPr>
  </w:style>
  <w:style w:type="character" w:customStyle="1" w:styleId="CommentTextChar">
    <w:name w:val="Comment Text Char"/>
    <w:basedOn w:val="DefaultParagraphFont"/>
    <w:link w:val="CommentText"/>
    <w:uiPriority w:val="99"/>
    <w:rsid w:val="00620FAA"/>
    <w:rPr>
      <w:sz w:val="20"/>
      <w:szCs w:val="20"/>
    </w:rPr>
  </w:style>
  <w:style w:type="paragraph" w:styleId="CommentSubject">
    <w:name w:val="annotation subject"/>
    <w:basedOn w:val="CommentText"/>
    <w:next w:val="CommentText"/>
    <w:link w:val="CommentSubjectChar"/>
    <w:uiPriority w:val="99"/>
    <w:semiHidden/>
    <w:unhideWhenUsed/>
    <w:rsid w:val="00620FAA"/>
    <w:rPr>
      <w:b/>
      <w:bCs/>
    </w:rPr>
  </w:style>
  <w:style w:type="character" w:customStyle="1" w:styleId="CommentSubjectChar">
    <w:name w:val="Comment Subject Char"/>
    <w:basedOn w:val="CommentTextChar"/>
    <w:link w:val="CommentSubject"/>
    <w:uiPriority w:val="99"/>
    <w:semiHidden/>
    <w:rsid w:val="00620FAA"/>
    <w:rPr>
      <w:b/>
      <w:bCs/>
      <w:sz w:val="20"/>
      <w:szCs w:val="20"/>
    </w:rPr>
  </w:style>
  <w:style w:type="paragraph" w:styleId="BalloonText">
    <w:name w:val="Balloon Text"/>
    <w:basedOn w:val="Normal"/>
    <w:link w:val="BalloonTextChar"/>
    <w:uiPriority w:val="99"/>
    <w:semiHidden/>
    <w:unhideWhenUsed/>
    <w:rsid w:val="00620F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0FAA"/>
    <w:rPr>
      <w:rFonts w:ascii="Segoe UI" w:hAnsi="Segoe UI" w:cs="Segoe UI"/>
      <w:sz w:val="18"/>
      <w:szCs w:val="18"/>
    </w:rPr>
  </w:style>
  <w:style w:type="paragraph" w:styleId="NormalWeb">
    <w:name w:val="Normal (Web)"/>
    <w:basedOn w:val="Normal"/>
    <w:uiPriority w:val="99"/>
    <w:semiHidden/>
    <w:unhideWhenUsed/>
    <w:rsid w:val="00F37AC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37A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7ACE"/>
  </w:style>
  <w:style w:type="paragraph" w:styleId="Revision">
    <w:name w:val="Revision"/>
    <w:hidden/>
    <w:uiPriority w:val="99"/>
    <w:semiHidden/>
    <w:rsid w:val="00A261B5"/>
    <w:pPr>
      <w:spacing w:after="0" w:line="240" w:lineRule="auto"/>
    </w:pPr>
  </w:style>
  <w:style w:type="character" w:styleId="FollowedHyperlink">
    <w:name w:val="FollowedHyperlink"/>
    <w:basedOn w:val="DefaultParagraphFont"/>
    <w:uiPriority w:val="99"/>
    <w:semiHidden/>
    <w:unhideWhenUsed/>
    <w:rsid w:val="00F6246A"/>
    <w:rPr>
      <w:color w:val="954F72" w:themeColor="followedHyperlink"/>
      <w:u w:val="single"/>
    </w:rPr>
  </w:style>
  <w:style w:type="character" w:styleId="UnresolvedMention">
    <w:name w:val="Unresolved Mention"/>
    <w:basedOn w:val="DefaultParagraphFont"/>
    <w:uiPriority w:val="99"/>
    <w:semiHidden/>
    <w:unhideWhenUsed/>
    <w:rsid w:val="007F10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8205403">
      <w:bodyDiv w:val="1"/>
      <w:marLeft w:val="0"/>
      <w:marRight w:val="0"/>
      <w:marTop w:val="0"/>
      <w:marBottom w:val="0"/>
      <w:divBdr>
        <w:top w:val="none" w:sz="0" w:space="0" w:color="auto"/>
        <w:left w:val="none" w:sz="0" w:space="0" w:color="auto"/>
        <w:bottom w:val="none" w:sz="0" w:space="0" w:color="auto"/>
        <w:right w:val="none" w:sz="0" w:space="0" w:color="auto"/>
      </w:divBdr>
    </w:div>
    <w:div w:id="1791973198">
      <w:bodyDiv w:val="1"/>
      <w:marLeft w:val="0"/>
      <w:marRight w:val="0"/>
      <w:marTop w:val="0"/>
      <w:marBottom w:val="0"/>
      <w:divBdr>
        <w:top w:val="none" w:sz="0" w:space="0" w:color="auto"/>
        <w:left w:val="none" w:sz="0" w:space="0" w:color="auto"/>
        <w:bottom w:val="none" w:sz="0" w:space="0" w:color="auto"/>
        <w:right w:val="none" w:sz="0" w:space="0" w:color="auto"/>
      </w:divBdr>
    </w:div>
    <w:div w:id="1836872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congress.gov/116/plaws/publ127/PLAW-116publ127.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medicaid.gov/resources-for-states/disaster-response-toolkit/index.html" TargetMode="External"/><Relationship Id="rId2" Type="http://schemas.openxmlformats.org/officeDocument/2006/relationships/hyperlink" Target="https://www.gao.gov/products/GAO-15-593SP" TargetMode="External"/><Relationship Id="rId1" Type="http://schemas.openxmlformats.org/officeDocument/2006/relationships/hyperlink" Target="https://nam12.safelinks.protection.outlook.com/?url=https%3A%2F%2Fwww.medicaid.gov%2Fresources-for-states%2Fmac-learning-collaboratives%2Fexpanding-coverage-under-medicaid-and-chip%2Findex.html&amp;data=04%7C01%7CLArmistead%40mathematica-mpr.com%7C75327905df914f827b7b08d947a04940%7C13af8d650b4b4c0fa446a427419abfd6%7C0%7C0%7C637619576287567925%7CUnknown%7CTWFpbGZsb3d8eyJWIjoiMC4wLjAwMDAiLCJQIjoiV2luMzIiLCJBTiI6Ik1haWwiLCJXVCI6Mn0%3D%7C1000&amp;sdata=dgMGqEFWtmK1rNPLo3iA4GI1vmbhh6CjBoG5KdvVxLI%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86a8e296-5f29-4af2-954b-0de0d1e1f8bc"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3E63EDA2C3D67347B3898CEC3874766A" ma:contentTypeVersion="4" ma:contentTypeDescription="Create a new document." ma:contentTypeScope="" ma:versionID="9fbcbb759a129336733d38e46f80acb8">
  <xsd:schema xmlns:xsd="http://www.w3.org/2001/XMLSchema" xmlns:xs="http://www.w3.org/2001/XMLSchema" xmlns:p="http://schemas.microsoft.com/office/2006/metadata/properties" xmlns:ns2="9329444b-2233-46c8-91ba-d18ad3361054" xmlns:ns3="http://schemas.microsoft.com/sharepoint/v4" targetNamespace="http://schemas.microsoft.com/office/2006/metadata/properties" ma:root="true" ma:fieldsID="ac61de94aac8adc9ef9d6446f1bfeb30" ns2:_="" ns3:_="">
    <xsd:import namespace="9329444b-2233-46c8-91ba-d18ad3361054"/>
    <xsd:import namespace="http://schemas.microsoft.com/sharepoint/v4"/>
    <xsd:element name="properties">
      <xsd:complexType>
        <xsd:sequence>
          <xsd:element name="documentManagement">
            <xsd:complexType>
              <xsd:all>
                <xsd:element ref="ns2:GS_MraActionInProgress" minOccurs="0"/>
                <xsd:element ref="ns3:IconOverla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29444b-2233-46c8-91ba-d18ad3361054" elementFormDefault="qualified">
    <xsd:import namespace="http://schemas.microsoft.com/office/2006/documentManagement/types"/>
    <xsd:import namespace="http://schemas.microsoft.com/office/infopath/2007/PartnerControls"/>
    <xsd:element name="GS_MraActionInProgress" ma:index="8" nillable="true" ma:displayName="GS_MraActionInProgress" ma:hidden="true" ma:internalName="GS_MraActionInProgress">
      <xsd:simpleType>
        <xsd:restriction base="dms:Text"/>
      </xsd:simpleType>
    </xsd:element>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GS_MraActionInProgress xmlns="9329444b-2233-46c8-91ba-d18ad336105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B495D2-87B5-44AB-B682-C086A50089F1}">
  <ds:schemaRefs>
    <ds:schemaRef ds:uri="Microsoft.SharePoint.Taxonomy.ContentTypeSync"/>
  </ds:schemaRefs>
</ds:datastoreItem>
</file>

<file path=customXml/itemProps2.xml><?xml version="1.0" encoding="utf-8"?>
<ds:datastoreItem xmlns:ds="http://schemas.openxmlformats.org/officeDocument/2006/customXml" ds:itemID="{6B3CDB52-E1A6-4FC4-93EB-AE41D51DD3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29444b-2233-46c8-91ba-d18ad336105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7C5A40-D607-4932-83B5-E857FB0EFAA1}">
  <ds:schemaRefs>
    <ds:schemaRef ds:uri="http://purl.org/dc/terms/"/>
    <ds:schemaRef ds:uri="http://purl.org/dc/elements/1.1/"/>
    <ds:schemaRef ds:uri="http://purl.org/dc/dcmitype/"/>
    <ds:schemaRef ds:uri="http://schemas.microsoft.com/office/infopath/2007/PartnerControls"/>
    <ds:schemaRef ds:uri="http://schemas.microsoft.com/office/2006/documentManagement/types"/>
    <ds:schemaRef ds:uri="9329444b-2233-46c8-91ba-d18ad3361054"/>
    <ds:schemaRef ds:uri="http://schemas.openxmlformats.org/package/2006/metadata/core-properties"/>
    <ds:schemaRef ds:uri="http://www.w3.org/XML/1998/namespace"/>
    <ds:schemaRef ds:uri="http://schemas.microsoft.com/sharepoint/v4"/>
    <ds:schemaRef ds:uri="http://schemas.microsoft.com/office/2006/metadata/properties"/>
  </ds:schemaRefs>
</ds:datastoreItem>
</file>

<file path=customXml/itemProps4.xml><?xml version="1.0" encoding="utf-8"?>
<ds:datastoreItem xmlns:ds="http://schemas.openxmlformats.org/officeDocument/2006/customXml" ds:itemID="{96242B50-5B81-4B8D-A284-DC8AAFFA87D1}">
  <ds:schemaRefs>
    <ds:schemaRef ds:uri="http://schemas.microsoft.com/sharepoint/v3/contenttype/forms"/>
  </ds:schemaRefs>
</ds:datastoreItem>
</file>

<file path=customXml/itemProps5.xml><?xml version="1.0" encoding="utf-8"?>
<ds:datastoreItem xmlns:ds="http://schemas.openxmlformats.org/officeDocument/2006/customXml" ds:itemID="{3C3E41F5-148F-4C26-9749-86F371670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3949</Words>
  <Characters>22511</Characters>
  <Application>Microsoft Office Word</Application>
  <DocSecurity>4</DocSecurity>
  <Lines>187</Lines>
  <Paragraphs>52</Paragraphs>
  <ScaleCrop>false</ScaleCrop>
  <HeadingPairs>
    <vt:vector size="2" baseType="variant">
      <vt:variant>
        <vt:lpstr>Title</vt:lpstr>
      </vt:variant>
      <vt:variant>
        <vt:i4>1</vt:i4>
      </vt:variant>
    </vt:vector>
  </HeadingPairs>
  <TitlesOfParts>
    <vt:vector size="1" baseType="lpstr">
      <vt:lpstr>Risk Assessment Template</vt:lpstr>
    </vt:vector>
  </TitlesOfParts>
  <Company/>
  <LinksUpToDate>false</LinksUpToDate>
  <CharactersWithSpaces>26408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Assessment Template</dc:title>
  <dc:subject>Risk Assessment Template for Evaluating COVID-19 Flexibilities and Waivers</dc:subject>
  <dc:creator>Centers for Medicare &amp; Medicaid Services (CMS)</dc:creator>
  <cp:keywords>Medicaid, CHIP, Program Integrity, Eligibility, Risk Assessment, COVID-19, Public Health Emergency</cp:keywords>
  <dc:description/>
  <cp:lastModifiedBy>Nancy Adams</cp:lastModifiedBy>
  <cp:revision>2</cp:revision>
  <dcterms:created xsi:type="dcterms:W3CDTF">2021-07-16T18:22:00Z</dcterms:created>
  <dcterms:modified xsi:type="dcterms:W3CDTF">2021-07-16T18:22:00Z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