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22B3" w14:textId="7440EC03" w:rsidR="00B92655" w:rsidRPr="00B92655" w:rsidRDefault="00B92655" w:rsidP="004430F9">
      <w:pPr>
        <w:pStyle w:val="BodyText"/>
        <w:spacing w:before="240" w:after="120" w:line="259" w:lineRule="auto"/>
        <w:ind w:left="115" w:right="245"/>
        <w:jc w:val="center"/>
        <w:rPr>
          <w:b/>
          <w:bCs/>
          <w:sz w:val="28"/>
          <w:szCs w:val="28"/>
        </w:rPr>
      </w:pPr>
      <w:bookmarkStart w:id="0" w:name="_Hlk84010335"/>
      <w:r w:rsidRPr="00B92655">
        <w:rPr>
          <w:b/>
          <w:bCs/>
          <w:sz w:val="28"/>
          <w:szCs w:val="28"/>
        </w:rPr>
        <w:t xml:space="preserve">Medicaid and Children’s Health Insurance Program </w:t>
      </w:r>
      <w:r w:rsidR="00214581">
        <w:rPr>
          <w:b/>
          <w:bCs/>
          <w:sz w:val="28"/>
          <w:szCs w:val="28"/>
        </w:rPr>
        <w:t>Return to Normal Operations</w:t>
      </w:r>
    </w:p>
    <w:bookmarkEnd w:id="0"/>
    <w:p w14:paraId="7F781420" w14:textId="3733EDDC" w:rsidR="00B92655" w:rsidRDefault="00B92655" w:rsidP="00F9348F">
      <w:pPr>
        <w:pStyle w:val="BodyText"/>
        <w:spacing w:after="180" w:line="259" w:lineRule="auto"/>
        <w:ind w:left="115" w:right="245"/>
        <w:jc w:val="center"/>
        <w:rPr>
          <w:b/>
          <w:bCs/>
          <w:sz w:val="24"/>
          <w:szCs w:val="24"/>
        </w:rPr>
      </w:pPr>
      <w:r w:rsidRPr="00B92655">
        <w:rPr>
          <w:b/>
          <w:bCs/>
          <w:sz w:val="24"/>
          <w:szCs w:val="24"/>
        </w:rPr>
        <w:t>Eligibility and Enrollment Pending Actions Resolution Planning Tool</w:t>
      </w:r>
      <w:r w:rsidR="000E4141">
        <w:rPr>
          <w:b/>
          <w:bCs/>
          <w:sz w:val="24"/>
          <w:szCs w:val="24"/>
        </w:rPr>
        <w:t xml:space="preserve"> – Version 2.0</w:t>
      </w:r>
    </w:p>
    <w:p w14:paraId="3C750DE7" w14:textId="7F7BA9EE" w:rsidR="000E4141" w:rsidRPr="00F82D00" w:rsidRDefault="000E4141" w:rsidP="007D7267">
      <w:pPr>
        <w:pStyle w:val="BodyText"/>
        <w:spacing w:before="7"/>
        <w:ind w:firstLine="0"/>
        <w:jc w:val="both"/>
        <w:rPr>
          <w:spacing w:val="-1"/>
        </w:rPr>
      </w:pPr>
      <w:r w:rsidRPr="001D5DD1">
        <w:rPr>
          <w:spacing w:val="-1"/>
        </w:rPr>
        <w:t xml:space="preserve">During the </w:t>
      </w:r>
      <w:r w:rsidR="00022B4E">
        <w:rPr>
          <w:spacing w:val="-1"/>
        </w:rPr>
        <w:t>national COVID-19 public health emergency (</w:t>
      </w:r>
      <w:r w:rsidRPr="001D5DD1">
        <w:rPr>
          <w:spacing w:val="-1"/>
        </w:rPr>
        <w:t>PHE</w:t>
      </w:r>
      <w:r w:rsidR="00022B4E">
        <w:rPr>
          <w:spacing w:val="-1"/>
        </w:rPr>
        <w:t>)</w:t>
      </w:r>
      <w:r w:rsidRPr="001D5DD1">
        <w:rPr>
          <w:spacing w:val="-1"/>
        </w:rPr>
        <w:t>, states</w:t>
      </w:r>
      <w:r w:rsidR="00890850">
        <w:rPr>
          <w:rStyle w:val="FootnoteReference"/>
          <w:spacing w:val="-1"/>
        </w:rPr>
        <w:footnoteReference w:id="2"/>
      </w:r>
      <w:r w:rsidRPr="001D5DD1">
        <w:rPr>
          <w:spacing w:val="-1"/>
        </w:rPr>
        <w:t xml:space="preserve"> implemented program changes or other emergency flexibilities and will need to take steps to reverse many of these changes when</w:t>
      </w:r>
      <w:r w:rsidR="00FC1300">
        <w:rPr>
          <w:spacing w:val="-1"/>
        </w:rPr>
        <w:t xml:space="preserve"> </w:t>
      </w:r>
      <w:r w:rsidR="00F447A7">
        <w:rPr>
          <w:spacing w:val="-1"/>
        </w:rPr>
        <w:t xml:space="preserve">they </w:t>
      </w:r>
      <w:r w:rsidR="009C5D79">
        <w:rPr>
          <w:spacing w:val="-1"/>
        </w:rPr>
        <w:t xml:space="preserve">return to normal operations. </w:t>
      </w:r>
      <w:r w:rsidR="00CB0951">
        <w:rPr>
          <w:spacing w:val="-1"/>
        </w:rPr>
        <w:t xml:space="preserve"> </w:t>
      </w:r>
      <w:r w:rsidR="009C5D79" w:rsidRPr="00A07C7F">
        <w:rPr>
          <w:spacing w:val="-1"/>
        </w:rPr>
        <w:t>As one of several conditions of receiving the temporary</w:t>
      </w:r>
      <w:r w:rsidR="009C5D79">
        <w:rPr>
          <w:spacing w:val="-1"/>
        </w:rPr>
        <w:t xml:space="preserve"> </w:t>
      </w:r>
      <w:r w:rsidR="009C5D79" w:rsidRPr="00A07C7F">
        <w:rPr>
          <w:spacing w:val="-1"/>
        </w:rPr>
        <w:t>6.2 percentage</w:t>
      </w:r>
      <w:r w:rsidR="009C5D79">
        <w:rPr>
          <w:spacing w:val="-1"/>
        </w:rPr>
        <w:t xml:space="preserve"> </w:t>
      </w:r>
      <w:r w:rsidR="009C5D79" w:rsidRPr="00A07C7F">
        <w:rPr>
          <w:spacing w:val="-1"/>
        </w:rPr>
        <w:t xml:space="preserve">point Federal Medical Assistance Percentage </w:t>
      </w:r>
      <w:r w:rsidR="009C5D79">
        <w:rPr>
          <w:spacing w:val="-1"/>
        </w:rPr>
        <w:t>(</w:t>
      </w:r>
      <w:r w:rsidR="009C5D79" w:rsidRPr="00A07C7F">
        <w:rPr>
          <w:spacing w:val="-1"/>
        </w:rPr>
        <w:t>FMAP</w:t>
      </w:r>
      <w:r w:rsidR="009C5D79">
        <w:rPr>
          <w:spacing w:val="-1"/>
        </w:rPr>
        <w:t>)</w:t>
      </w:r>
      <w:r w:rsidR="009C5D79" w:rsidRPr="00A07C7F">
        <w:rPr>
          <w:spacing w:val="-1"/>
        </w:rPr>
        <w:t xml:space="preserve"> increase under</w:t>
      </w:r>
      <w:r w:rsidR="009C5D79" w:rsidRPr="00A07C7F">
        <w:t xml:space="preserve"> </w:t>
      </w:r>
      <w:r w:rsidR="009C5D79" w:rsidRPr="001D5DD1">
        <w:t>the Families First Coronavirus Response Act</w:t>
      </w:r>
      <w:r w:rsidR="009C5D79" w:rsidRPr="00A07C7F">
        <w:rPr>
          <w:spacing w:val="-1"/>
        </w:rPr>
        <w:t xml:space="preserve"> </w:t>
      </w:r>
      <w:r w:rsidR="009C5D79">
        <w:rPr>
          <w:spacing w:val="-1"/>
        </w:rPr>
        <w:t>(</w:t>
      </w:r>
      <w:r w:rsidR="009C5D79" w:rsidRPr="00A07C7F">
        <w:rPr>
          <w:spacing w:val="-1"/>
        </w:rPr>
        <w:t>FFCRA</w:t>
      </w:r>
      <w:r w:rsidR="009C5D79">
        <w:rPr>
          <w:spacing w:val="-1"/>
        </w:rPr>
        <w:t>)</w:t>
      </w:r>
      <w:r w:rsidR="009C5D79" w:rsidRPr="00A07C7F">
        <w:rPr>
          <w:spacing w:val="-1"/>
        </w:rPr>
        <w:t xml:space="preserve">, states have been required to maintain enrollment of nearly all individuals enrolled in Medicaid (this provision is commonly referred to as the </w:t>
      </w:r>
      <w:r w:rsidR="00BF44BE">
        <w:rPr>
          <w:spacing w:val="-1"/>
        </w:rPr>
        <w:t>“continuous enrollment condition”</w:t>
      </w:r>
      <w:r w:rsidR="00E76DA5">
        <w:rPr>
          <w:spacing w:val="-1"/>
        </w:rPr>
        <w:t>)</w:t>
      </w:r>
      <w:r w:rsidR="009C5D79">
        <w:rPr>
          <w:spacing w:val="-1"/>
        </w:rPr>
        <w:t>.</w:t>
      </w:r>
      <w:r w:rsidR="0051544F">
        <w:rPr>
          <w:rStyle w:val="FootnoteReference"/>
          <w:spacing w:val="-1"/>
        </w:rPr>
        <w:footnoteReference w:id="3"/>
      </w:r>
      <w:r w:rsidRPr="001D5DD1">
        <w:rPr>
          <w:spacing w:val="-1"/>
        </w:rPr>
        <w:t xml:space="preserve">  </w:t>
      </w:r>
      <w:r w:rsidR="00AC0E43" w:rsidRPr="008B2FA6">
        <w:t xml:space="preserve">When the continuous enrollment </w:t>
      </w:r>
      <w:r w:rsidR="00BF44BE">
        <w:t>condition</w:t>
      </w:r>
      <w:r w:rsidR="00D775B6">
        <w:t xml:space="preserve"> eventually</w:t>
      </w:r>
      <w:r w:rsidR="00BF44BE">
        <w:t xml:space="preserve"> </w:t>
      </w:r>
      <w:r w:rsidR="00AC0E43" w:rsidRPr="008B2FA6">
        <w:t>e</w:t>
      </w:r>
      <w:r w:rsidR="00C94290">
        <w:t>nds</w:t>
      </w:r>
      <w:r w:rsidR="00AC0E43" w:rsidRPr="008B2FA6">
        <w:t xml:space="preserve">, states will generally have up to 12 months to return to normal eligibility and enrollment </w:t>
      </w:r>
      <w:r w:rsidR="00C94290">
        <w:t>(E&amp;</w:t>
      </w:r>
      <w:r w:rsidR="00090A8D">
        <w:t>E</w:t>
      </w:r>
      <w:r w:rsidR="00C94290">
        <w:t xml:space="preserve">) </w:t>
      </w:r>
      <w:r w:rsidR="00AC0E43" w:rsidRPr="008B2FA6">
        <w:t xml:space="preserve">operations. </w:t>
      </w:r>
      <w:r w:rsidR="00CB0951">
        <w:t xml:space="preserve"> </w:t>
      </w:r>
      <w:r w:rsidR="00AC0E43" w:rsidRPr="008B2FA6">
        <w:t xml:space="preserve">This will include </w:t>
      </w:r>
      <w:r w:rsidR="00EF2D6E">
        <w:t>initiating</w:t>
      </w:r>
      <w:r w:rsidR="00AC0E43" w:rsidRPr="008B2FA6">
        <w:t xml:space="preserve"> a full renewal for all individuals enrolled in Medicaid, the Children’s Health Insurance Program (CHIP), or the Basic Health Program (BHP)</w:t>
      </w:r>
      <w:r w:rsidR="00F447A7">
        <w:t>;</w:t>
      </w:r>
      <w:r w:rsidR="00AC0E43" w:rsidRPr="008B2FA6">
        <w:t xml:space="preserve"> completing processing of pending applications and resuming timely application processing</w:t>
      </w:r>
      <w:r w:rsidR="005C2F28">
        <w:t>;</w:t>
      </w:r>
      <w:r w:rsidR="00AC0E43" w:rsidRPr="008B2FA6">
        <w:t xml:space="preserve"> and conducting routine verifications and processing of changes in circumstances.  </w:t>
      </w:r>
      <w:r w:rsidR="00AC0E43" w:rsidRPr="003F0123">
        <w:rPr>
          <w:spacing w:val="-1"/>
        </w:rPr>
        <w:t xml:space="preserve">This significant volume of work will test state </w:t>
      </w:r>
      <w:r w:rsidR="002B503A">
        <w:rPr>
          <w:spacing w:val="-1"/>
        </w:rPr>
        <w:t xml:space="preserve">E&amp;E </w:t>
      </w:r>
      <w:r w:rsidR="00AC0E43" w:rsidRPr="003F0123">
        <w:rPr>
          <w:spacing w:val="-1"/>
        </w:rPr>
        <w:t xml:space="preserve">systems and staff, and necessitates </w:t>
      </w:r>
      <w:r w:rsidR="00E76DA5">
        <w:rPr>
          <w:spacing w:val="-1"/>
        </w:rPr>
        <w:t>extensive state planning</w:t>
      </w:r>
      <w:r w:rsidR="00AC0E43" w:rsidRPr="003F0123">
        <w:rPr>
          <w:spacing w:val="-1"/>
        </w:rPr>
        <w:t xml:space="preserve"> to maintain continuous coverage for</w:t>
      </w:r>
      <w:r w:rsidR="00890850">
        <w:rPr>
          <w:spacing w:val="-1"/>
        </w:rPr>
        <w:t xml:space="preserve"> eligible</w:t>
      </w:r>
      <w:r w:rsidR="00AC0E43" w:rsidRPr="003F0123">
        <w:rPr>
          <w:spacing w:val="-1"/>
        </w:rPr>
        <w:t xml:space="preserve"> individuals</w:t>
      </w:r>
      <w:r w:rsidR="00090A8D">
        <w:rPr>
          <w:spacing w:val="-1"/>
        </w:rPr>
        <w:t xml:space="preserve"> and ensure a smooth transition to resumption of normal operations</w:t>
      </w:r>
      <w:r w:rsidR="00AC0E43">
        <w:rPr>
          <w:spacing w:val="-1"/>
        </w:rPr>
        <w:t xml:space="preserve">. </w:t>
      </w:r>
    </w:p>
    <w:p w14:paraId="1A508E25" w14:textId="28D1AFA6" w:rsidR="00C94290" w:rsidRDefault="001E61D5" w:rsidP="00C24633">
      <w:pPr>
        <w:pStyle w:val="Default"/>
        <w:contextualSpacing/>
        <w:rPr>
          <w:rFonts w:asciiTheme="minorHAnsi" w:hAnsiTheme="minorHAnsi" w:cstheme="minorHAnsi"/>
          <w:sz w:val="22"/>
          <w:szCs w:val="22"/>
        </w:rPr>
      </w:pPr>
      <w:r w:rsidRPr="00C24633">
        <w:rPr>
          <w:rFonts w:asciiTheme="minorHAnsi" w:hAnsiTheme="minorHAnsi" w:cstheme="minorHAnsi"/>
          <w:spacing w:val="-1"/>
          <w:sz w:val="22"/>
          <w:szCs w:val="22"/>
        </w:rPr>
        <w:t xml:space="preserve">This tool is intended to highlight </w:t>
      </w:r>
      <w:r w:rsidR="005D49FE" w:rsidRPr="00C24633">
        <w:rPr>
          <w:rFonts w:asciiTheme="minorHAnsi" w:hAnsiTheme="minorHAnsi" w:cstheme="minorHAnsi"/>
          <w:spacing w:val="-1"/>
          <w:sz w:val="22"/>
          <w:szCs w:val="22"/>
        </w:rPr>
        <w:t xml:space="preserve">the </w:t>
      </w:r>
      <w:r w:rsidR="00B2110B" w:rsidRPr="00C24633">
        <w:rPr>
          <w:rFonts w:asciiTheme="minorHAnsi" w:hAnsiTheme="minorHAnsi" w:cstheme="minorHAnsi"/>
          <w:spacing w:val="-1"/>
          <w:sz w:val="22"/>
          <w:szCs w:val="22"/>
        </w:rPr>
        <w:t>areas of work</w:t>
      </w:r>
      <w:r w:rsidR="005D49FE" w:rsidRPr="00C24633">
        <w:rPr>
          <w:rFonts w:asciiTheme="minorHAnsi" w:hAnsiTheme="minorHAnsi" w:cstheme="minorHAnsi"/>
          <w:spacing w:val="-1"/>
          <w:sz w:val="22"/>
          <w:szCs w:val="22"/>
        </w:rPr>
        <w:t xml:space="preserve"> states may need to address in their planning efforts</w:t>
      </w:r>
      <w:r w:rsidR="00B53D72" w:rsidRPr="00C24633">
        <w:rPr>
          <w:rFonts w:asciiTheme="minorHAnsi" w:hAnsiTheme="minorHAnsi" w:cstheme="minorHAnsi"/>
          <w:spacing w:val="-1"/>
          <w:sz w:val="22"/>
          <w:szCs w:val="22"/>
        </w:rPr>
        <w:t>,</w:t>
      </w:r>
      <w:r w:rsidR="005D49FE" w:rsidRPr="00C24633">
        <w:rPr>
          <w:rFonts w:asciiTheme="minorHAnsi" w:hAnsiTheme="minorHAnsi" w:cstheme="minorHAnsi"/>
          <w:spacing w:val="-1"/>
          <w:sz w:val="22"/>
          <w:szCs w:val="22"/>
        </w:rPr>
        <w:t xml:space="preserve"> and </w:t>
      </w:r>
      <w:r w:rsidRPr="00C24633">
        <w:rPr>
          <w:rFonts w:asciiTheme="minorHAnsi" w:hAnsiTheme="minorHAnsi" w:cstheme="minorHAnsi"/>
          <w:spacing w:val="-1"/>
          <w:sz w:val="22"/>
          <w:szCs w:val="22"/>
        </w:rPr>
        <w:t>key state planning domains</w:t>
      </w:r>
      <w:r w:rsidR="005D49FE" w:rsidRPr="00C24633">
        <w:rPr>
          <w:rFonts w:asciiTheme="minorHAnsi" w:hAnsiTheme="minorHAnsi" w:cstheme="minorHAnsi"/>
          <w:spacing w:val="-1"/>
          <w:sz w:val="22"/>
          <w:szCs w:val="22"/>
        </w:rPr>
        <w:t xml:space="preserve"> and strategies</w:t>
      </w:r>
      <w:r w:rsidR="00CF3B55" w:rsidRPr="00C24633">
        <w:rPr>
          <w:rFonts w:asciiTheme="minorHAnsi" w:hAnsiTheme="minorHAnsi" w:cstheme="minorHAnsi"/>
          <w:spacing w:val="-1"/>
          <w:sz w:val="22"/>
          <w:szCs w:val="22"/>
        </w:rPr>
        <w:t xml:space="preserve">. </w:t>
      </w:r>
      <w:r w:rsidR="00CB0951">
        <w:rPr>
          <w:rFonts w:asciiTheme="minorHAnsi" w:hAnsiTheme="minorHAnsi" w:cstheme="minorHAnsi"/>
          <w:spacing w:val="-1"/>
          <w:sz w:val="22"/>
          <w:szCs w:val="22"/>
        </w:rPr>
        <w:t xml:space="preserve"> </w:t>
      </w:r>
      <w:r w:rsidR="00CF3B55" w:rsidRPr="00C24633">
        <w:rPr>
          <w:rFonts w:asciiTheme="minorHAnsi" w:hAnsiTheme="minorHAnsi" w:cstheme="minorHAnsi"/>
          <w:spacing w:val="-1"/>
          <w:sz w:val="22"/>
          <w:szCs w:val="22"/>
        </w:rPr>
        <w:t>S</w:t>
      </w:r>
      <w:r w:rsidR="00A13752" w:rsidRPr="00C24633">
        <w:rPr>
          <w:rFonts w:asciiTheme="minorHAnsi" w:hAnsiTheme="minorHAnsi" w:cstheme="minorHAnsi"/>
          <w:spacing w:val="-1"/>
          <w:sz w:val="22"/>
          <w:szCs w:val="22"/>
        </w:rPr>
        <w:t>tates are encouraged</w:t>
      </w:r>
      <w:r w:rsidR="00E124EA" w:rsidRPr="00C24633">
        <w:rPr>
          <w:rFonts w:asciiTheme="minorHAnsi" w:hAnsiTheme="minorHAnsi" w:cstheme="minorHAnsi"/>
          <w:spacing w:val="-1"/>
          <w:sz w:val="22"/>
          <w:szCs w:val="22"/>
        </w:rPr>
        <w:t>, but not required,</w:t>
      </w:r>
      <w:r w:rsidR="00A13752" w:rsidRPr="00C24633">
        <w:rPr>
          <w:rFonts w:asciiTheme="minorHAnsi" w:hAnsiTheme="minorHAnsi" w:cstheme="minorHAnsi"/>
          <w:spacing w:val="-1"/>
          <w:sz w:val="22"/>
          <w:szCs w:val="22"/>
        </w:rPr>
        <w:t xml:space="preserve"> to leverage this tool to validate the</w:t>
      </w:r>
      <w:r w:rsidR="001D0EE4" w:rsidRPr="00C24633">
        <w:rPr>
          <w:rFonts w:asciiTheme="minorHAnsi" w:hAnsiTheme="minorHAnsi" w:cstheme="minorHAnsi"/>
          <w:spacing w:val="-1"/>
          <w:sz w:val="22"/>
          <w:szCs w:val="22"/>
        </w:rPr>
        <w:t xml:space="preserve">ir readiness to complete </w:t>
      </w:r>
      <w:r w:rsidR="002B503A" w:rsidRPr="00C24633">
        <w:rPr>
          <w:rFonts w:asciiTheme="minorHAnsi" w:hAnsiTheme="minorHAnsi" w:cstheme="minorHAnsi"/>
          <w:spacing w:val="-1"/>
          <w:sz w:val="22"/>
          <w:szCs w:val="22"/>
        </w:rPr>
        <w:t>E&amp;E</w:t>
      </w:r>
      <w:r w:rsidR="00A3023D" w:rsidRPr="00C24633">
        <w:rPr>
          <w:rFonts w:asciiTheme="minorHAnsi" w:hAnsiTheme="minorHAnsi" w:cstheme="minorHAnsi"/>
          <w:spacing w:val="-1"/>
          <w:sz w:val="22"/>
          <w:szCs w:val="22"/>
        </w:rPr>
        <w:t xml:space="preserve"> </w:t>
      </w:r>
      <w:r w:rsidR="001D0EE4" w:rsidRPr="00C24633">
        <w:rPr>
          <w:rFonts w:asciiTheme="minorHAnsi" w:hAnsiTheme="minorHAnsi" w:cstheme="minorHAnsi"/>
          <w:spacing w:val="-1"/>
          <w:sz w:val="22"/>
          <w:szCs w:val="22"/>
        </w:rPr>
        <w:t>pending actions</w:t>
      </w:r>
      <w:r w:rsidR="00E94F0C" w:rsidRPr="00C24633">
        <w:rPr>
          <w:rFonts w:asciiTheme="minorHAnsi" w:hAnsiTheme="minorHAnsi" w:cstheme="minorHAnsi"/>
          <w:spacing w:val="-1"/>
          <w:sz w:val="22"/>
          <w:szCs w:val="22"/>
        </w:rPr>
        <w:t xml:space="preserve"> and resume normal operations,</w:t>
      </w:r>
      <w:r w:rsidR="001D0EE4" w:rsidRPr="00C24633">
        <w:rPr>
          <w:rFonts w:asciiTheme="minorHAnsi" w:hAnsiTheme="minorHAnsi" w:cstheme="minorHAnsi"/>
          <w:spacing w:val="-1"/>
          <w:sz w:val="22"/>
          <w:szCs w:val="22"/>
        </w:rPr>
        <w:t xml:space="preserve"> and the</w:t>
      </w:r>
      <w:r w:rsidR="00A13752" w:rsidRPr="00C24633">
        <w:rPr>
          <w:rFonts w:asciiTheme="minorHAnsi" w:hAnsiTheme="minorHAnsi" w:cstheme="minorHAnsi"/>
          <w:spacing w:val="-1"/>
          <w:sz w:val="22"/>
          <w:szCs w:val="22"/>
        </w:rPr>
        <w:t xml:space="preserve"> comprehensiveness of their planning</w:t>
      </w:r>
      <w:r w:rsidR="00A13752" w:rsidRPr="00C24633">
        <w:rPr>
          <w:rFonts w:asciiTheme="minorHAnsi" w:hAnsiTheme="minorHAnsi" w:cstheme="minorHAnsi"/>
          <w:sz w:val="22"/>
          <w:szCs w:val="22"/>
        </w:rPr>
        <w:t xml:space="preserve">. </w:t>
      </w:r>
      <w:r w:rsidR="00A07020" w:rsidRPr="00C24633">
        <w:rPr>
          <w:rFonts w:asciiTheme="minorHAnsi" w:hAnsiTheme="minorHAnsi" w:cstheme="minorHAnsi"/>
          <w:spacing w:val="-1"/>
          <w:sz w:val="22"/>
          <w:szCs w:val="22"/>
        </w:rPr>
        <w:t xml:space="preserve">While states must develop and document their plans to restore routine operations, </w:t>
      </w:r>
      <w:r w:rsidR="00A07020" w:rsidRPr="00C24633">
        <w:rPr>
          <w:rFonts w:asciiTheme="minorHAnsi" w:hAnsiTheme="minorHAnsi" w:cstheme="minorHAnsi"/>
          <w:sz w:val="22"/>
          <w:szCs w:val="22"/>
        </w:rPr>
        <w:t>s</w:t>
      </w:r>
      <w:r w:rsidR="00A13752" w:rsidRPr="00C24633">
        <w:rPr>
          <w:rFonts w:asciiTheme="minorHAnsi" w:hAnsiTheme="minorHAnsi" w:cstheme="minorHAnsi"/>
          <w:sz w:val="22"/>
          <w:szCs w:val="22"/>
        </w:rPr>
        <w:t>tates</w:t>
      </w:r>
      <w:r w:rsidR="004D31A5" w:rsidRPr="00C24633">
        <w:rPr>
          <w:rFonts w:asciiTheme="minorHAnsi" w:hAnsiTheme="minorHAnsi" w:cstheme="minorHAnsi"/>
          <w:sz w:val="22"/>
          <w:szCs w:val="22"/>
        </w:rPr>
        <w:t xml:space="preserve"> </w:t>
      </w:r>
      <w:r w:rsidR="00A13752" w:rsidRPr="00C24633">
        <w:rPr>
          <w:rFonts w:asciiTheme="minorHAnsi" w:hAnsiTheme="minorHAnsi" w:cstheme="minorHAnsi"/>
          <w:sz w:val="22"/>
          <w:szCs w:val="22"/>
        </w:rPr>
        <w:t>are</w:t>
      </w:r>
      <w:r w:rsidR="00E124EA" w:rsidRPr="00C24633">
        <w:rPr>
          <w:rFonts w:asciiTheme="minorHAnsi" w:hAnsiTheme="minorHAnsi" w:cstheme="minorHAnsi"/>
          <w:sz w:val="22"/>
          <w:szCs w:val="22"/>
        </w:rPr>
        <w:t xml:space="preserve"> </w:t>
      </w:r>
      <w:r w:rsidR="00A13752" w:rsidRPr="00C24633">
        <w:rPr>
          <w:rFonts w:asciiTheme="minorHAnsi" w:hAnsiTheme="minorHAnsi" w:cstheme="minorHAnsi"/>
          <w:sz w:val="22"/>
          <w:szCs w:val="22"/>
        </w:rPr>
        <w:t xml:space="preserve">not required to submit their </w:t>
      </w:r>
      <w:r w:rsidR="00A07020" w:rsidRPr="00C24633">
        <w:rPr>
          <w:rFonts w:asciiTheme="minorHAnsi" w:hAnsiTheme="minorHAnsi" w:cstheme="minorHAnsi"/>
          <w:sz w:val="22"/>
          <w:szCs w:val="22"/>
        </w:rPr>
        <w:t xml:space="preserve">entire operational </w:t>
      </w:r>
      <w:r w:rsidR="00A13752" w:rsidRPr="00C24633">
        <w:rPr>
          <w:rFonts w:asciiTheme="minorHAnsi" w:hAnsiTheme="minorHAnsi" w:cstheme="minorHAnsi"/>
          <w:sz w:val="22"/>
          <w:szCs w:val="22"/>
        </w:rPr>
        <w:t xml:space="preserve">plan to CMS for review or </w:t>
      </w:r>
      <w:r w:rsidR="00C24633" w:rsidRPr="00C24633">
        <w:rPr>
          <w:rFonts w:asciiTheme="minorHAnsi" w:hAnsiTheme="minorHAnsi" w:cstheme="minorHAnsi"/>
          <w:sz w:val="22"/>
          <w:szCs w:val="22"/>
        </w:rPr>
        <w:t xml:space="preserve">approval. </w:t>
      </w:r>
      <w:r w:rsidR="00CB0951">
        <w:rPr>
          <w:rFonts w:asciiTheme="minorHAnsi" w:hAnsiTheme="minorHAnsi" w:cstheme="minorHAnsi"/>
          <w:sz w:val="22"/>
          <w:szCs w:val="22"/>
        </w:rPr>
        <w:t xml:space="preserve"> </w:t>
      </w:r>
      <w:r w:rsidR="009D642F">
        <w:rPr>
          <w:rFonts w:asciiTheme="minorHAnsi" w:hAnsiTheme="minorHAnsi" w:cstheme="minorHAnsi"/>
          <w:sz w:val="22"/>
          <w:szCs w:val="22"/>
        </w:rPr>
        <w:t>T</w:t>
      </w:r>
      <w:r w:rsidR="00C94290" w:rsidRPr="00C24633">
        <w:rPr>
          <w:rFonts w:asciiTheme="minorHAnsi" w:hAnsiTheme="minorHAnsi" w:cstheme="minorHAnsi"/>
          <w:sz w:val="22"/>
          <w:szCs w:val="22"/>
        </w:rPr>
        <w:t xml:space="preserve">he perspectives and partnership of </w:t>
      </w:r>
      <w:r w:rsidR="006A49B4" w:rsidRPr="00C24633">
        <w:rPr>
          <w:rFonts w:asciiTheme="minorHAnsi" w:hAnsiTheme="minorHAnsi" w:cstheme="minorHAnsi"/>
          <w:sz w:val="22"/>
          <w:szCs w:val="22"/>
        </w:rPr>
        <w:t xml:space="preserve">the Federally </w:t>
      </w:r>
      <w:r w:rsidR="00616C33" w:rsidRPr="00C24633">
        <w:rPr>
          <w:rFonts w:asciiTheme="minorHAnsi" w:hAnsiTheme="minorHAnsi" w:cstheme="minorHAnsi"/>
          <w:sz w:val="22"/>
          <w:szCs w:val="22"/>
        </w:rPr>
        <w:t>Facilitated</w:t>
      </w:r>
      <w:r w:rsidR="006A49B4" w:rsidRPr="00C24633">
        <w:rPr>
          <w:rFonts w:asciiTheme="minorHAnsi" w:hAnsiTheme="minorHAnsi" w:cstheme="minorHAnsi"/>
          <w:sz w:val="22"/>
          <w:szCs w:val="22"/>
        </w:rPr>
        <w:t xml:space="preserve"> Market</w:t>
      </w:r>
      <w:r w:rsidR="00616C33" w:rsidRPr="00C24633">
        <w:rPr>
          <w:rFonts w:asciiTheme="minorHAnsi" w:hAnsiTheme="minorHAnsi" w:cstheme="minorHAnsi"/>
          <w:sz w:val="22"/>
          <w:szCs w:val="22"/>
        </w:rPr>
        <w:t>p</w:t>
      </w:r>
      <w:r w:rsidR="006A49B4" w:rsidRPr="00C24633">
        <w:rPr>
          <w:rFonts w:asciiTheme="minorHAnsi" w:hAnsiTheme="minorHAnsi" w:cstheme="minorHAnsi"/>
          <w:sz w:val="22"/>
          <w:szCs w:val="22"/>
        </w:rPr>
        <w:t>lac</w:t>
      </w:r>
      <w:r w:rsidR="00616C33" w:rsidRPr="00C24633">
        <w:rPr>
          <w:rFonts w:asciiTheme="minorHAnsi" w:hAnsiTheme="minorHAnsi" w:cstheme="minorHAnsi"/>
          <w:sz w:val="22"/>
          <w:szCs w:val="22"/>
        </w:rPr>
        <w:t>e</w:t>
      </w:r>
      <w:r w:rsidR="00CB3E98">
        <w:rPr>
          <w:rFonts w:asciiTheme="minorHAnsi" w:hAnsiTheme="minorHAnsi" w:cstheme="minorHAnsi"/>
          <w:sz w:val="22"/>
          <w:szCs w:val="22"/>
        </w:rPr>
        <w:t xml:space="preserve"> (FFM)</w:t>
      </w:r>
      <w:r w:rsidR="006A49B4" w:rsidRPr="00C24633">
        <w:rPr>
          <w:rFonts w:asciiTheme="minorHAnsi" w:hAnsiTheme="minorHAnsi" w:cstheme="minorHAnsi"/>
          <w:sz w:val="22"/>
          <w:szCs w:val="22"/>
        </w:rPr>
        <w:t>, State Based Market</w:t>
      </w:r>
      <w:r w:rsidR="00616C33" w:rsidRPr="00C24633">
        <w:rPr>
          <w:rFonts w:asciiTheme="minorHAnsi" w:hAnsiTheme="minorHAnsi" w:cstheme="minorHAnsi"/>
          <w:sz w:val="22"/>
          <w:szCs w:val="22"/>
        </w:rPr>
        <w:t>pl</w:t>
      </w:r>
      <w:r w:rsidR="006A49B4" w:rsidRPr="00C24633">
        <w:rPr>
          <w:rFonts w:asciiTheme="minorHAnsi" w:hAnsiTheme="minorHAnsi" w:cstheme="minorHAnsi"/>
          <w:sz w:val="22"/>
          <w:szCs w:val="22"/>
        </w:rPr>
        <w:t>aces</w:t>
      </w:r>
      <w:r w:rsidR="00CB3E98">
        <w:rPr>
          <w:rFonts w:asciiTheme="minorHAnsi" w:hAnsiTheme="minorHAnsi" w:cstheme="minorHAnsi"/>
          <w:sz w:val="22"/>
          <w:szCs w:val="22"/>
        </w:rPr>
        <w:t xml:space="preserve"> (SBM)</w:t>
      </w:r>
      <w:r w:rsidR="006A49B4" w:rsidRPr="00C24633">
        <w:rPr>
          <w:rFonts w:asciiTheme="minorHAnsi" w:hAnsiTheme="minorHAnsi" w:cstheme="minorHAnsi"/>
          <w:sz w:val="22"/>
          <w:szCs w:val="22"/>
        </w:rPr>
        <w:t xml:space="preserve">, </w:t>
      </w:r>
      <w:r w:rsidR="00C94290" w:rsidRPr="00C24633">
        <w:rPr>
          <w:rFonts w:asciiTheme="minorHAnsi" w:hAnsiTheme="minorHAnsi" w:cstheme="minorHAnsi"/>
          <w:sz w:val="22"/>
          <w:szCs w:val="22"/>
        </w:rPr>
        <w:t xml:space="preserve">Medicaid and CHIP managed care organizations (MCOs), providers, </w:t>
      </w:r>
      <w:r w:rsidR="00D761E2">
        <w:rPr>
          <w:rFonts w:asciiTheme="minorHAnsi" w:hAnsiTheme="minorHAnsi" w:cstheme="minorHAnsi"/>
          <w:sz w:val="22"/>
          <w:szCs w:val="22"/>
        </w:rPr>
        <w:t>enrollee</w:t>
      </w:r>
      <w:r w:rsidR="00D761E2" w:rsidRPr="00C24633">
        <w:rPr>
          <w:rFonts w:asciiTheme="minorHAnsi" w:hAnsiTheme="minorHAnsi" w:cstheme="minorHAnsi"/>
          <w:sz w:val="22"/>
          <w:szCs w:val="22"/>
        </w:rPr>
        <w:t xml:space="preserve"> </w:t>
      </w:r>
      <w:r w:rsidR="00C94290" w:rsidRPr="00C24633">
        <w:rPr>
          <w:rFonts w:asciiTheme="minorHAnsi" w:hAnsiTheme="minorHAnsi" w:cstheme="minorHAnsi"/>
          <w:sz w:val="22"/>
          <w:szCs w:val="22"/>
        </w:rPr>
        <w:t xml:space="preserve">advocates, and other stakeholders are critical to the resumption of renewals and other eligibility actions in a manner that supports retention of coverage, including the successful transition to other programs. </w:t>
      </w:r>
      <w:r w:rsidR="00CB0951">
        <w:rPr>
          <w:rFonts w:asciiTheme="minorHAnsi" w:hAnsiTheme="minorHAnsi" w:cstheme="minorHAnsi"/>
          <w:sz w:val="22"/>
          <w:szCs w:val="22"/>
        </w:rPr>
        <w:t xml:space="preserve"> </w:t>
      </w:r>
      <w:r w:rsidR="00C94290" w:rsidRPr="00C24633">
        <w:rPr>
          <w:rFonts w:asciiTheme="minorHAnsi" w:hAnsiTheme="minorHAnsi" w:cstheme="minorHAnsi"/>
          <w:sz w:val="22"/>
          <w:szCs w:val="22"/>
        </w:rPr>
        <w:t>CMS encourages states to solicit input on their unwinding operational plans from these partners, and to share their plans publicly, prior to their implementation.</w:t>
      </w:r>
      <w:r w:rsidR="00A13752" w:rsidRPr="00C24633">
        <w:rPr>
          <w:rFonts w:asciiTheme="minorHAnsi" w:hAnsiTheme="minorHAnsi" w:cstheme="minorHAnsi"/>
          <w:sz w:val="22"/>
          <w:szCs w:val="22"/>
        </w:rPr>
        <w:t xml:space="preserve"> </w:t>
      </w:r>
    </w:p>
    <w:p w14:paraId="6111ED03" w14:textId="77777777" w:rsidR="0071005D" w:rsidRPr="00C24633" w:rsidRDefault="0071005D" w:rsidP="00C24633">
      <w:pPr>
        <w:pStyle w:val="Default"/>
        <w:contextualSpacing/>
        <w:rPr>
          <w:rFonts w:asciiTheme="minorHAnsi" w:hAnsiTheme="minorHAnsi" w:cstheme="minorHAnsi"/>
          <w:sz w:val="22"/>
          <w:szCs w:val="22"/>
        </w:rPr>
      </w:pPr>
    </w:p>
    <w:p w14:paraId="78467C89" w14:textId="55D04857" w:rsidR="007310F8" w:rsidRDefault="00131078" w:rsidP="004430F9">
      <w:pPr>
        <w:pStyle w:val="BodyText"/>
        <w:spacing w:before="7" w:after="360"/>
        <w:ind w:firstLine="0"/>
        <w:jc w:val="both"/>
      </w:pPr>
      <w:r w:rsidRPr="00131078">
        <w:t>Under the authority in sections 1902(a)(6) and 1902(a)(75) of the Social Security Act (the Act) and 42 C.F.R. § 431.16, all states will be expected to submit data demonstrating progress in completing pending applications and initiating the state’s total caseload of renewals, along with the disposition of renewals.</w:t>
      </w:r>
      <w:r w:rsidR="00CB0951">
        <w:t xml:space="preserve"> </w:t>
      </w:r>
      <w:r w:rsidRPr="00131078">
        <w:t xml:space="preserve"> States will be required to submit baseline data to CMS and report additional data on a monthly basis, for a minimum of 14 months. Where reported data indicate that states are not meeting timelines or in circumstances where data demonstrate other potential compliance issues, including potential erroneous </w:t>
      </w:r>
      <w:r w:rsidR="008432C7" w:rsidRPr="00131078">
        <w:t>disenrollment</w:t>
      </w:r>
      <w:r w:rsidRPr="00131078">
        <w:t xml:space="preserve"> of eligible </w:t>
      </w:r>
      <w:r w:rsidR="004E37D3">
        <w:t>enrollees</w:t>
      </w:r>
      <w:r w:rsidRPr="00131078">
        <w:t>, states may be expected to report additional data and/or report information more frequently.</w:t>
      </w:r>
      <w:r w:rsidR="00E73D99">
        <w:t xml:space="preserve"> </w:t>
      </w:r>
      <w:r w:rsidR="00CB0951">
        <w:t xml:space="preserve"> </w:t>
      </w:r>
      <w:r w:rsidRPr="00131078">
        <w:t xml:space="preserve">CMS will identify the data elements to be reported and provide a </w:t>
      </w:r>
      <w:r w:rsidR="00F66FD4">
        <w:t xml:space="preserve">mandatory </w:t>
      </w:r>
      <w:r w:rsidRPr="00131078">
        <w:t>reporting template for states to use.</w:t>
      </w:r>
    </w:p>
    <w:p w14:paraId="4A545BA1" w14:textId="77777777" w:rsidR="007310F8" w:rsidRPr="007310F8" w:rsidRDefault="007310F8" w:rsidP="007310F8">
      <w:pPr>
        <w:pStyle w:val="BodyText"/>
        <w:spacing w:before="7"/>
        <w:ind w:firstLine="0"/>
        <w:jc w:val="center"/>
        <w:rPr>
          <w:rFonts w:asciiTheme="minorHAnsi" w:hAnsiTheme="minorHAnsi" w:cstheme="minorHAnsi"/>
          <w:i/>
          <w:sz w:val="20"/>
          <w:szCs w:val="20"/>
        </w:rPr>
      </w:pPr>
      <w:r w:rsidRPr="007310F8">
        <w:rPr>
          <w:rFonts w:asciiTheme="minorHAnsi" w:hAnsiTheme="minorHAnsi" w:cstheme="minorHAnsi"/>
          <w:i/>
          <w:sz w:val="20"/>
          <w:szCs w:val="20"/>
        </w:rPr>
        <w:t>This communication was printed, published, or produced and disseminated at U.S. taxpayer expense. The information provided in this document is intended only to be a general informal summary of technical legal standards. It is not intended to take the place of the statutes, regulations, or formal policy guidance that it is based upon. This document summarizes current policy and operations as of the date it was presented. We encourage readers to refer to the applicable statutes, regulations, and other interpretive materials for complete and current information.</w:t>
      </w:r>
    </w:p>
    <w:p w14:paraId="726A7BCD" w14:textId="787F0335" w:rsidR="00D00EBE" w:rsidRDefault="00D00EBE" w:rsidP="000E4141">
      <w:pPr>
        <w:pStyle w:val="BodyText"/>
        <w:spacing w:before="7"/>
        <w:ind w:firstLine="0"/>
        <w:jc w:val="both"/>
      </w:pPr>
      <w:r>
        <w:lastRenderedPageBreak/>
        <w:t xml:space="preserve">The tool consists </w:t>
      </w:r>
      <w:r w:rsidR="002A48D7">
        <w:t xml:space="preserve">of </w:t>
      </w:r>
      <w:r w:rsidR="008023E5">
        <w:t>three</w:t>
      </w:r>
      <w:r>
        <w:t xml:space="preserve"> parts:</w:t>
      </w:r>
    </w:p>
    <w:p w14:paraId="7A1C589C" w14:textId="3C0F38BC" w:rsidR="00D00EBE" w:rsidRDefault="00596AA1" w:rsidP="00596AA1">
      <w:pPr>
        <w:pStyle w:val="BodyText"/>
        <w:spacing w:before="7"/>
        <w:ind w:firstLine="0"/>
        <w:jc w:val="both"/>
      </w:pPr>
      <w:r>
        <w:rPr>
          <w:b/>
          <w:bCs/>
        </w:rPr>
        <w:t xml:space="preserve">I. </w:t>
      </w:r>
      <w:r w:rsidR="003F245D">
        <w:rPr>
          <w:b/>
          <w:bCs/>
        </w:rPr>
        <w:t>R</w:t>
      </w:r>
      <w:r w:rsidR="00404954">
        <w:rPr>
          <w:b/>
          <w:bCs/>
        </w:rPr>
        <w:t>eadiness</w:t>
      </w:r>
      <w:r w:rsidR="00622F3C">
        <w:rPr>
          <w:b/>
          <w:bCs/>
        </w:rPr>
        <w:t xml:space="preserve"> </w:t>
      </w:r>
      <w:r w:rsidR="00BD77C8">
        <w:rPr>
          <w:b/>
          <w:bCs/>
        </w:rPr>
        <w:t>Assessment</w:t>
      </w:r>
      <w:r w:rsidR="004D66F4">
        <w:rPr>
          <w:b/>
          <w:bCs/>
        </w:rPr>
        <w:t>:</w:t>
      </w:r>
      <w:r w:rsidR="004D66F4">
        <w:t xml:space="preserve"> G</w:t>
      </w:r>
      <w:r w:rsidR="00D00EBE">
        <w:t xml:space="preserve">uided questions </w:t>
      </w:r>
      <w:r w:rsidR="00D4619B">
        <w:t xml:space="preserve">for states </w:t>
      </w:r>
      <w:r w:rsidR="00BD77C8">
        <w:t>to</w:t>
      </w:r>
      <w:r>
        <w:t xml:space="preserve"> assess </w:t>
      </w:r>
      <w:r w:rsidR="00D4619B">
        <w:t xml:space="preserve">their </w:t>
      </w:r>
      <w:r w:rsidR="00622F3C">
        <w:t xml:space="preserve">readiness for </w:t>
      </w:r>
      <w:r w:rsidR="001E1F8B">
        <w:t xml:space="preserve">completing </w:t>
      </w:r>
      <w:r w:rsidR="002B503A">
        <w:t>E&amp;E</w:t>
      </w:r>
      <w:r w:rsidR="00985481">
        <w:t xml:space="preserve"> </w:t>
      </w:r>
      <w:r w:rsidR="001E1F8B">
        <w:t>actions w</w:t>
      </w:r>
      <w:r w:rsidR="00622F3C">
        <w:t xml:space="preserve">hen the </w:t>
      </w:r>
      <w:r w:rsidR="004B4D59">
        <w:t xml:space="preserve">continuous enrollment </w:t>
      </w:r>
      <w:r w:rsidR="00BF44BE">
        <w:t>condition</w:t>
      </w:r>
      <w:r w:rsidR="00622F3C">
        <w:t xml:space="preserve"> ends, highlight</w:t>
      </w:r>
      <w:r w:rsidR="009A1243">
        <w:t>ing</w:t>
      </w:r>
      <w:r w:rsidR="00622F3C">
        <w:t xml:space="preserve"> </w:t>
      </w:r>
      <w:r>
        <w:t xml:space="preserve">areas of risk for </w:t>
      </w:r>
      <w:r w:rsidRPr="002A48D7">
        <w:t xml:space="preserve">coverage loss and delayed </w:t>
      </w:r>
      <w:r w:rsidR="003C41BC">
        <w:t>E&amp;E</w:t>
      </w:r>
      <w:r w:rsidR="001A38A8">
        <w:t xml:space="preserve"> processes</w:t>
      </w:r>
      <w:r w:rsidR="002A48D7">
        <w:t>.</w:t>
      </w:r>
    </w:p>
    <w:p w14:paraId="2C8063AA" w14:textId="70D43DB9" w:rsidR="00D00EBE" w:rsidRDefault="00596AA1" w:rsidP="001078F3">
      <w:pPr>
        <w:pStyle w:val="BodyText"/>
        <w:spacing w:before="7"/>
        <w:ind w:firstLine="0"/>
        <w:jc w:val="both"/>
      </w:pPr>
      <w:r>
        <w:rPr>
          <w:b/>
          <w:bCs/>
        </w:rPr>
        <w:t xml:space="preserve">II. </w:t>
      </w:r>
      <w:r w:rsidR="00E17928">
        <w:rPr>
          <w:b/>
          <w:bCs/>
        </w:rPr>
        <w:t>State Planning Approach and Strategies</w:t>
      </w:r>
      <w:r w:rsidR="004D66F4">
        <w:rPr>
          <w:b/>
          <w:bCs/>
        </w:rPr>
        <w:t>:</w:t>
      </w:r>
      <w:r w:rsidR="00D00EBE">
        <w:rPr>
          <w:b/>
          <w:bCs/>
        </w:rPr>
        <w:t xml:space="preserve"> </w:t>
      </w:r>
      <w:r w:rsidR="008576F5">
        <w:t>Prompts and sample templates</w:t>
      </w:r>
      <w:r w:rsidR="008576F5" w:rsidRPr="003F245D">
        <w:t xml:space="preserve"> </w:t>
      </w:r>
      <w:r w:rsidR="008576F5">
        <w:t xml:space="preserve">to: define state planning organization and structure; identify the staging and timing of activities and populations for completing </w:t>
      </w:r>
      <w:r w:rsidR="002B503A">
        <w:t>E&amp;E</w:t>
      </w:r>
      <w:r w:rsidR="008576F5">
        <w:t xml:space="preserve"> actions when the </w:t>
      </w:r>
      <w:r w:rsidR="00BF44BE">
        <w:t>continuous enrollment condition</w:t>
      </w:r>
      <w:r w:rsidR="00162652">
        <w:t xml:space="preserve"> </w:t>
      </w:r>
      <w:r w:rsidR="008576F5">
        <w:t xml:space="preserve">ends; and anticipate potential risks and determine mitigation strategies for completing </w:t>
      </w:r>
      <w:r w:rsidR="002B503A">
        <w:t xml:space="preserve">E&amp;E </w:t>
      </w:r>
      <w:r w:rsidR="008576F5">
        <w:t>actions as planned.</w:t>
      </w:r>
    </w:p>
    <w:p w14:paraId="547C487F" w14:textId="6D612BF0" w:rsidR="003F245D" w:rsidRDefault="009A1243" w:rsidP="003F245D">
      <w:pPr>
        <w:pStyle w:val="BodyText"/>
        <w:spacing w:before="7"/>
        <w:ind w:firstLine="0"/>
        <w:jc w:val="both"/>
      </w:pPr>
      <w:r>
        <w:rPr>
          <w:b/>
          <w:bCs/>
        </w:rPr>
        <w:t>III</w:t>
      </w:r>
      <w:r w:rsidR="003F245D">
        <w:rPr>
          <w:b/>
          <w:bCs/>
        </w:rPr>
        <w:t>. Roll-Up Summary</w:t>
      </w:r>
      <w:r w:rsidR="004D66F4">
        <w:rPr>
          <w:b/>
          <w:bCs/>
        </w:rPr>
        <w:t>:</w:t>
      </w:r>
      <w:r w:rsidR="007C3FF3">
        <w:rPr>
          <w:b/>
          <w:bCs/>
        </w:rPr>
        <w:t xml:space="preserve"> </w:t>
      </w:r>
      <w:r w:rsidR="004D66F4">
        <w:t>A s</w:t>
      </w:r>
      <w:r w:rsidR="002A48D7">
        <w:t>napshot of states</w:t>
      </w:r>
      <w:r w:rsidR="00030B1F">
        <w:t>’</w:t>
      </w:r>
      <w:r w:rsidR="002A48D7">
        <w:t xml:space="preserve"> </w:t>
      </w:r>
      <w:r w:rsidR="00EA7789">
        <w:t>overall approach</w:t>
      </w:r>
      <w:r w:rsidR="004D66F4">
        <w:t>.</w:t>
      </w:r>
      <w:r w:rsidR="002A48D7">
        <w:t xml:space="preserve"> </w:t>
      </w:r>
    </w:p>
    <w:p w14:paraId="3EF624E0" w14:textId="7D8312BF" w:rsidR="00F42B29" w:rsidRPr="002A48D7" w:rsidRDefault="00AC04DE" w:rsidP="003F245D">
      <w:pPr>
        <w:pStyle w:val="BodyText"/>
        <w:spacing w:before="7"/>
        <w:ind w:firstLine="0"/>
        <w:jc w:val="both"/>
      </w:pPr>
      <w:r>
        <w:t xml:space="preserve">In addition, </w:t>
      </w:r>
      <w:r w:rsidR="00F42B29">
        <w:t>CMS has developed and compiled several resources to provide additional support to states as they prepare to resume normal operations</w:t>
      </w:r>
      <w:r w:rsidR="00CB0951">
        <w:t xml:space="preserve">. </w:t>
      </w:r>
      <w:r w:rsidR="00F42B29">
        <w:t xml:space="preserve"> These resources</w:t>
      </w:r>
      <w:r w:rsidR="00525CAF">
        <w:t xml:space="preserve">, as well as </w:t>
      </w:r>
      <w:r w:rsidR="00192C42">
        <w:t xml:space="preserve">the guidance </w:t>
      </w:r>
      <w:r w:rsidR="00525CAF">
        <w:t xml:space="preserve">documents </w:t>
      </w:r>
      <w:r w:rsidR="00192C42">
        <w:t xml:space="preserve">referenced </w:t>
      </w:r>
      <w:r w:rsidR="00525CAF">
        <w:t>throughout</w:t>
      </w:r>
      <w:r w:rsidR="00192C42">
        <w:t xml:space="preserve"> the Planning Tool</w:t>
      </w:r>
      <w:r w:rsidR="00525CAF">
        <w:t>,</w:t>
      </w:r>
      <w:r w:rsidR="00F42B29">
        <w:t xml:space="preserve"> may be found in </w:t>
      </w:r>
      <w:r w:rsidR="00F42B29" w:rsidRPr="00525CAF">
        <w:rPr>
          <w:i/>
          <w:iCs/>
        </w:rPr>
        <w:t>Appendix A</w:t>
      </w:r>
      <w:r w:rsidR="00F42B29">
        <w:t xml:space="preserve">. </w:t>
      </w:r>
    </w:p>
    <w:p w14:paraId="03F17F11" w14:textId="77777777" w:rsidR="00B92655" w:rsidRDefault="000E4141" w:rsidP="00D00EBE">
      <w:pPr>
        <w:pStyle w:val="TOCHeading"/>
        <w:tabs>
          <w:tab w:val="left" w:pos="1730"/>
        </w:tabs>
        <w:rPr>
          <w:rStyle w:val="Strong"/>
        </w:rPr>
      </w:pPr>
      <w:r>
        <w:br w:type="page"/>
      </w:r>
    </w:p>
    <w:p w14:paraId="62A472E9" w14:textId="77777777" w:rsidR="00256552" w:rsidRDefault="00D321E1" w:rsidP="00DA2575">
      <w:pPr>
        <w:pStyle w:val="Heading1"/>
        <w:numPr>
          <w:ilvl w:val="0"/>
          <w:numId w:val="3"/>
        </w:numPr>
        <w:rPr>
          <w:rStyle w:val="Strong"/>
        </w:rPr>
      </w:pPr>
      <w:r>
        <w:rPr>
          <w:rStyle w:val="Strong"/>
        </w:rPr>
        <w:lastRenderedPageBreak/>
        <w:t>R</w:t>
      </w:r>
      <w:r w:rsidR="00404954">
        <w:rPr>
          <w:rStyle w:val="Strong"/>
        </w:rPr>
        <w:t>eadiness</w:t>
      </w:r>
      <w:r w:rsidR="00196587">
        <w:rPr>
          <w:rStyle w:val="Strong"/>
        </w:rPr>
        <w:t xml:space="preserve"> Assessment</w:t>
      </w:r>
    </w:p>
    <w:p w14:paraId="59D93646" w14:textId="77777777" w:rsidR="003507AC" w:rsidRDefault="003507AC" w:rsidP="0059141A">
      <w:pPr>
        <w:ind w:left="360"/>
      </w:pPr>
    </w:p>
    <w:p w14:paraId="7D040F44" w14:textId="28733115" w:rsidR="00047A1A" w:rsidRPr="00622F3C" w:rsidRDefault="003507AC" w:rsidP="00B4442C">
      <w:pPr>
        <w:ind w:left="360"/>
      </w:pPr>
      <w:r>
        <w:t>To</w:t>
      </w:r>
      <w:r w:rsidR="00047A1A" w:rsidRPr="00622F3C">
        <w:t xml:space="preserve"> help </w:t>
      </w:r>
      <w:r w:rsidR="00622F3C">
        <w:t xml:space="preserve">states understand </w:t>
      </w:r>
      <w:r w:rsidR="00886831">
        <w:t>their</w:t>
      </w:r>
      <w:r w:rsidR="00622F3C">
        <w:t xml:space="preserve"> readiness for </w:t>
      </w:r>
      <w:r w:rsidR="0029156C">
        <w:t xml:space="preserve">initiating and </w:t>
      </w:r>
      <w:r w:rsidR="00886831">
        <w:t>completing</w:t>
      </w:r>
      <w:r w:rsidR="0029156C">
        <w:t xml:space="preserve"> </w:t>
      </w:r>
      <w:r w:rsidR="002B503A">
        <w:t xml:space="preserve">E&amp;E </w:t>
      </w:r>
      <w:r w:rsidR="008357DE">
        <w:t xml:space="preserve">actions </w:t>
      </w:r>
      <w:r w:rsidR="00BA5E9D">
        <w:t>when</w:t>
      </w:r>
      <w:r w:rsidR="008357DE">
        <w:t xml:space="preserve"> the</w:t>
      </w:r>
      <w:r w:rsidR="00162652" w:rsidRPr="00162652">
        <w:t xml:space="preserve"> </w:t>
      </w:r>
      <w:r w:rsidR="00BF44BE">
        <w:t>continuous enrollment condition</w:t>
      </w:r>
      <w:r w:rsidR="00BA5E9D">
        <w:t xml:space="preserve"> </w:t>
      </w:r>
      <w:r w:rsidR="00D775B6">
        <w:t xml:space="preserve">eventually </w:t>
      </w:r>
      <w:r w:rsidR="00BA5E9D">
        <w:t>ends</w:t>
      </w:r>
      <w:r w:rsidR="009D0655">
        <w:t>,</w:t>
      </w:r>
      <w:r w:rsidR="00162652" w:rsidRPr="001D5DD1" w:rsidDel="00A358DC">
        <w:t xml:space="preserve"> </w:t>
      </w:r>
      <w:r>
        <w:t>t</w:t>
      </w:r>
      <w:r w:rsidR="0007010B" w:rsidRPr="00622F3C">
        <w:t>hese guided questions</w:t>
      </w:r>
      <w:r w:rsidR="00622F3C" w:rsidRPr="00622F3C">
        <w:t xml:space="preserve"> </w:t>
      </w:r>
      <w:r>
        <w:t>flag</w:t>
      </w:r>
      <w:r w:rsidR="00622F3C" w:rsidRPr="00622F3C">
        <w:t xml:space="preserve"> </w:t>
      </w:r>
      <w:r w:rsidR="00622F3C">
        <w:t xml:space="preserve">key </w:t>
      </w:r>
      <w:r w:rsidR="00622F3C" w:rsidRPr="00622F3C">
        <w:t>data point</w:t>
      </w:r>
      <w:r w:rsidR="0059141A">
        <w:t>s</w:t>
      </w:r>
      <w:r w:rsidR="00E96594">
        <w:t xml:space="preserve"> and considerations for planning</w:t>
      </w:r>
      <w:r w:rsidR="009A1243">
        <w:t xml:space="preserve"> purposes</w:t>
      </w:r>
      <w:r w:rsidR="00047A1A" w:rsidRPr="00622F3C">
        <w:t xml:space="preserve">. </w:t>
      </w:r>
      <w:r w:rsidR="00CB0951">
        <w:t xml:space="preserve"> </w:t>
      </w:r>
      <w:r w:rsidR="00D4619B">
        <w:t>States should c</w:t>
      </w:r>
      <w:r w:rsidR="00047A1A" w:rsidRPr="00622F3C">
        <w:t>omplete the questions below before</w:t>
      </w:r>
      <w:r>
        <w:t xml:space="preserve"> moving to</w:t>
      </w:r>
      <w:r w:rsidR="00047A1A" w:rsidRPr="00622F3C">
        <w:t xml:space="preserve"> </w:t>
      </w:r>
      <w:r w:rsidR="00047A1A" w:rsidRPr="003507AC">
        <w:rPr>
          <w:i/>
          <w:iCs/>
        </w:rPr>
        <w:t>Section II</w:t>
      </w:r>
      <w:r>
        <w:rPr>
          <w:i/>
          <w:iCs/>
        </w:rPr>
        <w:t>.</w:t>
      </w:r>
      <w:r w:rsidRPr="003507AC">
        <w:rPr>
          <w:i/>
          <w:iCs/>
        </w:rPr>
        <w:t xml:space="preserve"> </w:t>
      </w:r>
      <w:r w:rsidR="00786FC7">
        <w:rPr>
          <w:i/>
          <w:iCs/>
        </w:rPr>
        <w:t>State Planning Strategies</w:t>
      </w:r>
      <w:r w:rsidR="00047A1A" w:rsidRPr="00622F3C">
        <w:t xml:space="preserve">. </w:t>
      </w:r>
    </w:p>
    <w:p w14:paraId="1FCA9CDD" w14:textId="77777777" w:rsidR="0097159E" w:rsidRPr="0073341A" w:rsidRDefault="0097159E" w:rsidP="0073341A">
      <w:pPr>
        <w:rPr>
          <w:rFonts w:asciiTheme="minorHAnsi" w:hAnsiTheme="minorHAnsi" w:cstheme="minorHAnsi"/>
          <w:b/>
          <w:bCs/>
          <w:i/>
          <w:iCs/>
        </w:rPr>
      </w:pPr>
    </w:p>
    <w:p w14:paraId="3AF0992F" w14:textId="77777777" w:rsidR="00842303" w:rsidRDefault="00842303" w:rsidP="00DA2575">
      <w:pPr>
        <w:pStyle w:val="ListParagraph"/>
        <w:numPr>
          <w:ilvl w:val="0"/>
          <w:numId w:val="7"/>
        </w:numPr>
        <w:rPr>
          <w:rFonts w:asciiTheme="majorHAnsi" w:hAnsiTheme="majorHAnsi" w:cstheme="minorHAnsi"/>
          <w:b/>
          <w:bCs/>
          <w:i/>
          <w:iCs/>
          <w:color w:val="365F91" w:themeColor="accent1" w:themeShade="BF"/>
          <w:sz w:val="28"/>
          <w:szCs w:val="28"/>
        </w:rPr>
      </w:pPr>
      <w:r w:rsidRPr="00F42303">
        <w:rPr>
          <w:rFonts w:asciiTheme="majorHAnsi" w:hAnsiTheme="majorHAnsi" w:cstheme="minorHAnsi"/>
          <w:b/>
          <w:bCs/>
          <w:i/>
          <w:iCs/>
          <w:color w:val="365F91" w:themeColor="accent1" w:themeShade="BF"/>
          <w:sz w:val="28"/>
          <w:szCs w:val="28"/>
        </w:rPr>
        <w:t>Renewals</w:t>
      </w:r>
    </w:p>
    <w:p w14:paraId="3B31842E" w14:textId="77777777" w:rsidR="0059141A" w:rsidRDefault="0059141A" w:rsidP="0059141A">
      <w:pPr>
        <w:ind w:left="360"/>
        <w:jc w:val="both"/>
        <w:rPr>
          <w:b/>
          <w:bCs/>
        </w:rPr>
      </w:pPr>
    </w:p>
    <w:p w14:paraId="75A8A5F6" w14:textId="2C21EC5F" w:rsidR="0059141A" w:rsidRPr="0070459E" w:rsidRDefault="0059141A" w:rsidP="00C805AB">
      <w:pPr>
        <w:ind w:left="360"/>
        <w:jc w:val="both"/>
      </w:pPr>
      <w:r w:rsidRPr="0059141A">
        <w:rPr>
          <w:b/>
          <w:bCs/>
        </w:rPr>
        <w:t>Federal Requirements.</w:t>
      </w:r>
      <w:r w:rsidRPr="0070459E">
        <w:t xml:space="preserve"> States must renew eligibility for </w:t>
      </w:r>
      <w:r w:rsidR="004B4D59" w:rsidRPr="004B4D59">
        <w:t xml:space="preserve">individuals enrolled in </w:t>
      </w:r>
      <w:r w:rsidR="004B4D59">
        <w:t>Medicaid</w:t>
      </w:r>
      <w:r w:rsidR="008D7219">
        <w:t xml:space="preserve"> and</w:t>
      </w:r>
      <w:r w:rsidR="004B4D59">
        <w:t xml:space="preserve"> CHIP</w:t>
      </w:r>
      <w:r w:rsidR="004B4D59" w:rsidRPr="0070459E">
        <w:t xml:space="preserve"> </w:t>
      </w:r>
      <w:r w:rsidRPr="0070459E">
        <w:t xml:space="preserve">whose eligibility is determined using </w:t>
      </w:r>
      <w:r w:rsidR="009D0655">
        <w:t>Modified Adjusted Gross Income (</w:t>
      </w:r>
      <w:r w:rsidRPr="0070459E">
        <w:t>MAGI</w:t>
      </w:r>
      <w:r w:rsidR="009D0655">
        <w:t>)</w:t>
      </w:r>
      <w:r w:rsidRPr="0070459E">
        <w:t>-based financial methodologies once every 12 months, and no more frequently than once every 12 months, pursuant to 42 C.F.R. §§ 435.916</w:t>
      </w:r>
      <w:r w:rsidR="00A479BA">
        <w:t>(a)</w:t>
      </w:r>
      <w:r w:rsidRPr="0070459E">
        <w:t xml:space="preserve"> and 457.343.</w:t>
      </w:r>
      <w:r w:rsidR="00CB0951">
        <w:t xml:space="preserve">  </w:t>
      </w:r>
      <w:r w:rsidRPr="0070459E">
        <w:t>For individuals excepted from MAGI-based financial methodologies under 42 C.F.R. § 435.603(j)</w:t>
      </w:r>
      <w:r w:rsidR="00EF2D6E">
        <w:t xml:space="preserve"> (non-MAGI </w:t>
      </w:r>
      <w:r w:rsidR="004E37D3">
        <w:t>enrollees</w:t>
      </w:r>
      <w:r w:rsidRPr="0070459E">
        <w:t xml:space="preserve">), states must renew eligibility at least once every 12 months in accordance with 42 C.F.R. § 435.916(b). </w:t>
      </w:r>
      <w:r w:rsidR="00CB0951">
        <w:t xml:space="preserve"> </w:t>
      </w:r>
      <w:r w:rsidRPr="0070459E">
        <w:t>For BHP</w:t>
      </w:r>
      <w:r w:rsidR="009D0655">
        <w:t xml:space="preserve"> enrollees</w:t>
      </w:r>
      <w:r w:rsidRPr="0070459E">
        <w:t>, states must redetermine eligibility every 12 months in accordance with 42 C.F.R. §</w:t>
      </w:r>
      <w:r w:rsidR="007B63FA">
        <w:t xml:space="preserve"> </w:t>
      </w:r>
      <w:r w:rsidRPr="0070459E">
        <w:t>600.340.</w:t>
      </w:r>
    </w:p>
    <w:p w14:paraId="61F3B29F" w14:textId="77777777" w:rsidR="0059141A" w:rsidRPr="0070459E" w:rsidRDefault="0059141A" w:rsidP="00C805AB">
      <w:pPr>
        <w:pStyle w:val="ListParagraph"/>
        <w:jc w:val="both"/>
      </w:pPr>
    </w:p>
    <w:p w14:paraId="5D185919" w14:textId="2C75C1B8" w:rsidR="0059141A" w:rsidRPr="0059141A" w:rsidRDefault="0059141A" w:rsidP="00BE64FA">
      <w:pPr>
        <w:ind w:left="360"/>
        <w:jc w:val="both"/>
        <w:rPr>
          <w:i/>
          <w:iCs/>
        </w:rPr>
      </w:pPr>
      <w:r w:rsidRPr="0070459E">
        <w:t xml:space="preserve">For </w:t>
      </w:r>
      <w:r w:rsidR="004B4D59" w:rsidRPr="004B4D59">
        <w:t xml:space="preserve">individuals enrolled in </w:t>
      </w:r>
      <w:r w:rsidR="004B4D59">
        <w:t>Medicaid</w:t>
      </w:r>
      <w:r w:rsidR="004B4D59" w:rsidRPr="0070459E" w:rsidDel="004B4D59">
        <w:t xml:space="preserve"> </w:t>
      </w:r>
      <w:r w:rsidR="00492FC9" w:rsidRPr="0070459E">
        <w:t>who</w:t>
      </w:r>
      <w:r w:rsidRPr="0070459E">
        <w:t xml:space="preserve"> are found to no longer be eligible for the</w:t>
      </w:r>
      <w:r w:rsidR="00177F18">
        <w:t xml:space="preserve"> </w:t>
      </w:r>
      <w:r w:rsidR="00E67CEA">
        <w:t xml:space="preserve">eligibility </w:t>
      </w:r>
      <w:r w:rsidR="00177F18">
        <w:t xml:space="preserve">group that they were determined eligible for at </w:t>
      </w:r>
      <w:r w:rsidR="009D0655">
        <w:t xml:space="preserve">application or </w:t>
      </w:r>
      <w:r w:rsidR="00177F18">
        <w:t>renewal</w:t>
      </w:r>
      <w:r w:rsidRPr="0070459E">
        <w:t>, states must consider all bases of eligibility prior to determining an individual is ineligible for Medicaid and terminating coverage in accordance with 42 C.F.R.</w:t>
      </w:r>
      <w:r>
        <w:t xml:space="preserve"> </w:t>
      </w:r>
      <w:r w:rsidRPr="0070459E">
        <w:t xml:space="preserve">§ 435.916(f)(1). </w:t>
      </w:r>
      <w:r w:rsidR="00CB0951">
        <w:t xml:space="preserve"> </w:t>
      </w:r>
      <w:r w:rsidR="00F63739">
        <w:t>I</w:t>
      </w:r>
      <w:r w:rsidR="004B4D59" w:rsidRPr="004B4D59">
        <w:t xml:space="preserve">ndividuals enrolled in </w:t>
      </w:r>
      <w:r w:rsidR="004B4D59">
        <w:t>Medicaid</w:t>
      </w:r>
      <w:r w:rsidR="00AE11D5">
        <w:t xml:space="preserve"> and</w:t>
      </w:r>
      <w:r w:rsidR="004B4D59">
        <w:t xml:space="preserve"> CHIP</w:t>
      </w:r>
      <w:r w:rsidR="004B4D59" w:rsidRPr="0070459E">
        <w:t xml:space="preserve"> </w:t>
      </w:r>
      <w:r w:rsidRPr="0070459E">
        <w:t>who are determined ineligible must be screened for eligibility in other insurance affordability programs and their account</w:t>
      </w:r>
      <w:r w:rsidR="00E67CEA">
        <w:t xml:space="preserve"> must be</w:t>
      </w:r>
      <w:r w:rsidRPr="0070459E">
        <w:t xml:space="preserve"> transferred in accordance with 42 C.F.R.</w:t>
      </w:r>
      <w:r>
        <w:t xml:space="preserve"> </w:t>
      </w:r>
      <w:r w:rsidRPr="0070459E">
        <w:t xml:space="preserve">§§ 435.1200(e) and 457.350(b). </w:t>
      </w:r>
      <w:r w:rsidR="009D0655">
        <w:t xml:space="preserve">For additional guidance on renewal requirements, states may refer to the </w:t>
      </w:r>
      <w:hyperlink r:id="rId14" w:history="1">
        <w:r w:rsidR="002E0152" w:rsidRPr="00BE64FA">
          <w:rPr>
            <w:rStyle w:val="Hyperlink"/>
            <w:i/>
            <w:iCs/>
          </w:rPr>
          <w:t>December 202</w:t>
        </w:r>
        <w:r w:rsidR="00BE50CC" w:rsidRPr="00BE64FA">
          <w:rPr>
            <w:rStyle w:val="Hyperlink"/>
            <w:i/>
            <w:iCs/>
          </w:rPr>
          <w:t>0</w:t>
        </w:r>
        <w:r w:rsidR="002E0152" w:rsidRPr="00BE64FA">
          <w:rPr>
            <w:rStyle w:val="Hyperlink"/>
            <w:i/>
            <w:iCs/>
          </w:rPr>
          <w:t xml:space="preserve"> </w:t>
        </w:r>
        <w:r w:rsidR="009D0655" w:rsidRPr="000C6E65">
          <w:rPr>
            <w:rStyle w:val="Hyperlink"/>
            <w:i/>
            <w:iCs/>
          </w:rPr>
          <w:t>CMCS Informational Bulletin (CIB)</w:t>
        </w:r>
        <w:r w:rsidR="002E0152" w:rsidRPr="00BE64FA">
          <w:rPr>
            <w:rStyle w:val="Hyperlink"/>
            <w:i/>
            <w:iCs/>
          </w:rPr>
          <w:t>:</w:t>
        </w:r>
        <w:r w:rsidR="009D0655" w:rsidRPr="000C6E65">
          <w:rPr>
            <w:rStyle w:val="Hyperlink"/>
            <w:i/>
            <w:iCs/>
          </w:rPr>
          <w:t xml:space="preserve"> Medicaid and CHIP Renewal Requirements</w:t>
        </w:r>
      </w:hyperlink>
      <w:r w:rsidR="009D0655" w:rsidRPr="000C6E65">
        <w:rPr>
          <w:i/>
          <w:iCs/>
        </w:rPr>
        <w:t>.</w:t>
      </w:r>
      <w:r w:rsidR="00BE64FA" w:rsidRPr="00BE64FA" w:rsidDel="00BE64FA">
        <w:rPr>
          <w:i/>
          <w:iCs/>
        </w:rPr>
        <w:t xml:space="preserve"> </w:t>
      </w:r>
    </w:p>
    <w:p w14:paraId="0A1EFE09" w14:textId="77777777" w:rsidR="00875985" w:rsidRPr="00842303" w:rsidRDefault="00875985" w:rsidP="000C6E65">
      <w:pPr>
        <w:ind w:left="360"/>
        <w:jc w:val="both"/>
        <w:rPr>
          <w:rFonts w:asciiTheme="minorHAnsi" w:hAnsiTheme="minorHAnsi" w:cstheme="minorHAnsi"/>
          <w:b/>
          <w:bCs/>
          <w:color w:val="365F91" w:themeColor="accent1" w:themeShade="BF"/>
        </w:rPr>
      </w:pPr>
    </w:p>
    <w:tbl>
      <w:tblPr>
        <w:tblStyle w:val="TableGrid4"/>
        <w:tblW w:w="4897" w:type="pct"/>
        <w:tblInd w:w="355" w:type="dxa"/>
        <w:tblLook w:val="04A0" w:firstRow="1" w:lastRow="0" w:firstColumn="1" w:lastColumn="0" w:noHBand="0" w:noVBand="1"/>
      </w:tblPr>
      <w:tblGrid>
        <w:gridCol w:w="8190"/>
        <w:gridCol w:w="4590"/>
        <w:gridCol w:w="4134"/>
      </w:tblGrid>
      <w:tr w:rsidR="00A5711B" w:rsidRPr="00842303" w14:paraId="39E360B4" w14:textId="77777777" w:rsidTr="003872D2">
        <w:trPr>
          <w:cantSplit/>
          <w:trHeight w:val="350"/>
          <w:tblHeader/>
        </w:trPr>
        <w:tc>
          <w:tcPr>
            <w:tcW w:w="2421" w:type="pct"/>
            <w:shd w:val="clear" w:color="auto" w:fill="0071BC"/>
            <w:vAlign w:val="center"/>
          </w:tcPr>
          <w:p w14:paraId="62044C99" w14:textId="77777777" w:rsidR="00A5711B" w:rsidRPr="00842303" w:rsidRDefault="00A5711B" w:rsidP="00875985">
            <w:pPr>
              <w:spacing w:before="7"/>
              <w:rPr>
                <w:rFonts w:asciiTheme="minorHAnsi" w:eastAsia="Times New Roman" w:hAnsiTheme="minorHAnsi" w:cstheme="minorHAnsi"/>
                <w:b/>
                <w:bCs/>
                <w:color w:val="FFFFFF" w:themeColor="background1"/>
                <w:lang w:bidi="en-US"/>
              </w:rPr>
            </w:pPr>
            <w:r w:rsidRPr="00FC3119">
              <w:rPr>
                <w:rFonts w:asciiTheme="minorHAnsi" w:eastAsia="Times New Roman" w:hAnsiTheme="minorHAnsi" w:cstheme="minorBidi"/>
                <w:b/>
                <w:bCs/>
                <w:color w:val="FFFFFF" w:themeColor="background1"/>
                <w:lang w:bidi="en-US"/>
              </w:rPr>
              <w:t>State Self-Assessment Questions</w:t>
            </w:r>
          </w:p>
        </w:tc>
        <w:tc>
          <w:tcPr>
            <w:tcW w:w="1357" w:type="pct"/>
            <w:shd w:val="clear" w:color="auto" w:fill="0071BC"/>
            <w:vAlign w:val="center"/>
          </w:tcPr>
          <w:p w14:paraId="59FB85A9" w14:textId="77777777" w:rsidR="00A5711B" w:rsidRPr="00842303" w:rsidRDefault="00A5711B" w:rsidP="00875985">
            <w:pPr>
              <w:spacing w:before="7"/>
              <w:rPr>
                <w:rFonts w:asciiTheme="minorHAnsi" w:eastAsia="Times New Roman" w:hAnsiTheme="minorHAnsi" w:cstheme="minorHAnsi"/>
                <w:b/>
                <w:bCs/>
                <w:lang w:bidi="en-US"/>
              </w:rPr>
            </w:pPr>
            <w:r w:rsidRPr="00FC3119">
              <w:rPr>
                <w:rFonts w:asciiTheme="minorHAnsi" w:eastAsia="Times New Roman" w:hAnsiTheme="minorHAnsi" w:cstheme="minorBidi"/>
                <w:b/>
                <w:bCs/>
                <w:color w:val="FFFFFF" w:themeColor="background1"/>
                <w:lang w:bidi="en-US"/>
              </w:rPr>
              <w:t>State Response</w:t>
            </w:r>
          </w:p>
        </w:tc>
        <w:tc>
          <w:tcPr>
            <w:tcW w:w="1222" w:type="pct"/>
            <w:shd w:val="clear" w:color="auto" w:fill="0071BC"/>
          </w:tcPr>
          <w:p w14:paraId="21439CCE" w14:textId="77777777" w:rsidR="00A5711B" w:rsidRPr="00842303" w:rsidRDefault="00157857" w:rsidP="00875985">
            <w:pPr>
              <w:spacing w:before="7"/>
              <w:rPr>
                <w:rFonts w:asciiTheme="minorHAnsi" w:eastAsia="Times New Roman" w:hAnsiTheme="minorHAnsi" w:cstheme="minorHAnsi"/>
                <w:b/>
                <w:bCs/>
                <w:color w:val="FFFFFF" w:themeColor="background1"/>
                <w:lang w:bidi="en-US"/>
              </w:rPr>
            </w:pPr>
            <w:r w:rsidRPr="00FC3119">
              <w:rPr>
                <w:rFonts w:asciiTheme="minorHAnsi" w:eastAsia="Times New Roman" w:hAnsiTheme="minorHAnsi" w:cstheme="minorBidi"/>
                <w:b/>
                <w:bCs/>
                <w:color w:val="FFFFFF" w:themeColor="background1"/>
                <w:lang w:bidi="en-US"/>
              </w:rPr>
              <w:t xml:space="preserve">Considerations for State Planning </w:t>
            </w:r>
            <w:r w:rsidR="005F6888" w:rsidRPr="00FC3119">
              <w:rPr>
                <w:rFonts w:asciiTheme="minorHAnsi" w:eastAsia="Times New Roman" w:hAnsiTheme="minorHAnsi" w:cstheme="minorBidi"/>
                <w:b/>
                <w:bCs/>
                <w:color w:val="FFFFFF" w:themeColor="background1"/>
                <w:lang w:bidi="en-US"/>
              </w:rPr>
              <w:t>Scope</w:t>
            </w:r>
          </w:p>
        </w:tc>
      </w:tr>
      <w:tr w:rsidR="00F76FFB" w:rsidRPr="00842303" w14:paraId="33D1F7E5" w14:textId="77777777" w:rsidTr="6493D36F">
        <w:trPr>
          <w:cantSplit/>
        </w:trPr>
        <w:tc>
          <w:tcPr>
            <w:tcW w:w="2421" w:type="pct"/>
          </w:tcPr>
          <w:p w14:paraId="6301B95F" w14:textId="3470BAC7" w:rsidR="00F76FFB" w:rsidRPr="00842303" w:rsidRDefault="00F76FFB" w:rsidP="00DA2575">
            <w:pPr>
              <w:numPr>
                <w:ilvl w:val="0"/>
                <w:numId w:val="2"/>
              </w:numPr>
              <w:spacing w:before="7"/>
              <w:rPr>
                <w:rFonts w:asciiTheme="minorHAnsi" w:eastAsia="Times New Roman" w:hAnsiTheme="minorHAnsi" w:cstheme="minorHAnsi"/>
                <w:lang w:bidi="en-US"/>
              </w:rPr>
            </w:pPr>
            <w:r w:rsidRPr="00842303">
              <w:rPr>
                <w:rFonts w:asciiTheme="minorHAnsi" w:eastAsia="Times New Roman" w:hAnsiTheme="minorHAnsi" w:cstheme="minorHAnsi"/>
                <w:lang w:bidi="en-US"/>
              </w:rPr>
              <w:t xml:space="preserve">Did the state continue conducting renewals </w:t>
            </w:r>
            <w:r w:rsidR="00BF44BE">
              <w:rPr>
                <w:rFonts w:asciiTheme="minorHAnsi" w:eastAsia="Times New Roman" w:hAnsiTheme="minorHAnsi" w:cstheme="minorHAnsi"/>
                <w:lang w:bidi="en-US"/>
              </w:rPr>
              <w:t>while the</w:t>
            </w:r>
            <w:r w:rsidRPr="00842303">
              <w:rPr>
                <w:rFonts w:asciiTheme="minorHAnsi" w:eastAsia="Times New Roman" w:hAnsiTheme="minorHAnsi" w:cstheme="minorHAnsi"/>
                <w:lang w:bidi="en-US"/>
              </w:rPr>
              <w:t xml:space="preserve"> </w:t>
            </w:r>
            <w:r w:rsidR="00BF44BE">
              <w:t>continuous enrollment condition was in effect</w:t>
            </w:r>
            <w:r w:rsidR="00D27312">
              <w:rPr>
                <w:rFonts w:asciiTheme="minorHAnsi" w:eastAsia="Times New Roman" w:hAnsiTheme="minorHAnsi" w:cstheme="minorHAnsi"/>
                <w:lang w:bidi="en-US"/>
              </w:rPr>
              <w:t xml:space="preserve">? </w:t>
            </w:r>
          </w:p>
        </w:tc>
        <w:tc>
          <w:tcPr>
            <w:tcW w:w="1357" w:type="pct"/>
          </w:tcPr>
          <w:p w14:paraId="54316580" w14:textId="77777777" w:rsidR="00F76FFB" w:rsidRPr="00842303" w:rsidRDefault="00F76FFB" w:rsidP="00875985">
            <w:pPr>
              <w:spacing w:before="7"/>
              <w:rPr>
                <w:rFonts w:asciiTheme="minorHAnsi" w:eastAsia="Times New Roman" w:hAnsiTheme="minorHAnsi" w:cstheme="minorHAnsi"/>
                <w:b/>
                <w:i/>
                <w:iCs/>
                <w:lang w:bidi="en-US"/>
              </w:rPr>
            </w:pPr>
            <w:r w:rsidRPr="00842303">
              <w:rPr>
                <w:rFonts w:asciiTheme="minorHAnsi" w:eastAsia="Times New Roman" w:hAnsiTheme="minorHAnsi" w:cstheme="minorHAnsi"/>
                <w:b/>
                <w:i/>
                <w:iCs/>
                <w:lang w:bidi="en-US"/>
              </w:rPr>
              <w:t xml:space="preserve">Check all that apply: </w:t>
            </w:r>
          </w:p>
          <w:p w14:paraId="060FC03C" w14:textId="6C692FCF" w:rsidR="00F76FFB" w:rsidRDefault="004430F9" w:rsidP="00875985">
            <w:pPr>
              <w:spacing w:before="7"/>
              <w:rPr>
                <w:rFonts w:asciiTheme="minorHAnsi" w:eastAsia="Times New Roman" w:hAnsiTheme="minorHAnsi" w:cstheme="minorHAnsi"/>
                <w:iCs/>
                <w:lang w:bidi="en-US"/>
              </w:rPr>
            </w:pPr>
            <w:sdt>
              <w:sdtPr>
                <w:rPr>
                  <w:rFonts w:asciiTheme="minorHAnsi" w:eastAsia="Times New Roman" w:hAnsiTheme="minorHAnsi" w:cstheme="minorHAnsi"/>
                  <w:iCs/>
                  <w:lang w:bidi="en-US"/>
                </w:rPr>
                <w:id w:val="-516696381"/>
                <w14:checkbox>
                  <w14:checked w14:val="0"/>
                  <w14:checkedState w14:val="2612" w14:font="MS Gothic"/>
                  <w14:uncheckedState w14:val="2610" w14:font="MS Gothic"/>
                </w14:checkbox>
              </w:sdtPr>
              <w:sdtEndPr/>
              <w:sdtContent>
                <w:r w:rsidR="00F76FFB" w:rsidRPr="00842303">
                  <w:rPr>
                    <w:rFonts w:ascii="Segoe UI Symbol" w:eastAsia="Times New Roman" w:hAnsi="Segoe UI Symbol" w:cs="Segoe UI Symbol"/>
                    <w:iCs/>
                    <w:lang w:bidi="en-US"/>
                  </w:rPr>
                  <w:t>☐</w:t>
                </w:r>
              </w:sdtContent>
            </w:sdt>
            <w:r w:rsidR="00F76FFB" w:rsidRPr="00842303">
              <w:rPr>
                <w:rFonts w:asciiTheme="minorHAnsi" w:eastAsia="Times New Roman" w:hAnsiTheme="minorHAnsi" w:cstheme="minorHAnsi"/>
                <w:iCs/>
                <w:lang w:bidi="en-US"/>
              </w:rPr>
              <w:t xml:space="preserve"> Yes – </w:t>
            </w:r>
            <w:r w:rsidR="00F76FFB">
              <w:rPr>
                <w:rFonts w:asciiTheme="minorHAnsi" w:eastAsia="Times New Roman" w:hAnsiTheme="minorHAnsi" w:cstheme="minorHAnsi"/>
                <w:iCs/>
                <w:lang w:bidi="en-US"/>
              </w:rPr>
              <w:t>MAGI</w:t>
            </w:r>
            <w:r w:rsidR="00E000CD">
              <w:rPr>
                <w:rStyle w:val="FootnoteReference"/>
                <w:rFonts w:asciiTheme="minorHAnsi" w:eastAsia="Times New Roman" w:hAnsiTheme="minorHAnsi" w:cstheme="minorHAnsi"/>
                <w:iCs/>
                <w:lang w:bidi="en-US"/>
              </w:rPr>
              <w:footnoteReference w:id="4"/>
            </w:r>
            <w:r w:rsidR="00F76FFB">
              <w:rPr>
                <w:rFonts w:asciiTheme="minorHAnsi" w:eastAsia="Times New Roman" w:hAnsiTheme="minorHAnsi" w:cstheme="minorHAnsi"/>
                <w:iCs/>
                <w:lang w:bidi="en-US"/>
              </w:rPr>
              <w:t xml:space="preserve"> </w:t>
            </w:r>
            <w:r w:rsidR="00F76FFB" w:rsidRPr="00842303">
              <w:rPr>
                <w:rFonts w:asciiTheme="minorHAnsi" w:eastAsia="Times New Roman" w:hAnsiTheme="minorHAnsi" w:cstheme="minorHAnsi"/>
                <w:i/>
                <w:iCs/>
                <w:lang w:bidi="en-US"/>
              </w:rPr>
              <w:t>ex parte</w:t>
            </w:r>
            <w:r w:rsidR="00F76FFB" w:rsidRPr="00842303">
              <w:rPr>
                <w:rFonts w:asciiTheme="minorHAnsi" w:eastAsia="Times New Roman" w:hAnsiTheme="minorHAnsi" w:cstheme="minorHAnsi"/>
                <w:iCs/>
                <w:lang w:bidi="en-US"/>
              </w:rPr>
              <w:t xml:space="preserve"> renewals </w:t>
            </w:r>
            <w:r w:rsidR="00F76FFB">
              <w:rPr>
                <w:rFonts w:asciiTheme="minorHAnsi" w:eastAsia="Times New Roman" w:hAnsiTheme="minorHAnsi" w:cstheme="minorHAnsi"/>
                <w:iCs/>
                <w:lang w:bidi="en-US"/>
              </w:rPr>
              <w:t>only</w:t>
            </w:r>
          </w:p>
          <w:p w14:paraId="254E8462" w14:textId="191B1EEF" w:rsidR="00F76FFB" w:rsidRPr="00842303" w:rsidRDefault="004430F9" w:rsidP="00875985">
            <w:pPr>
              <w:spacing w:before="7"/>
              <w:rPr>
                <w:rFonts w:asciiTheme="minorHAnsi" w:eastAsia="Times New Roman" w:hAnsiTheme="minorHAnsi" w:cstheme="minorHAnsi"/>
                <w:iCs/>
                <w:lang w:bidi="en-US"/>
              </w:rPr>
            </w:pPr>
            <w:sdt>
              <w:sdtPr>
                <w:rPr>
                  <w:rFonts w:asciiTheme="minorHAnsi" w:eastAsia="Times New Roman" w:hAnsiTheme="minorHAnsi" w:cstheme="minorHAnsi"/>
                  <w:iCs/>
                  <w:lang w:bidi="en-US"/>
                </w:rPr>
                <w:id w:val="1388224731"/>
                <w14:checkbox>
                  <w14:checked w14:val="0"/>
                  <w14:checkedState w14:val="2612" w14:font="MS Gothic"/>
                  <w14:uncheckedState w14:val="2610" w14:font="MS Gothic"/>
                </w14:checkbox>
              </w:sdtPr>
              <w:sdtEndPr/>
              <w:sdtContent>
                <w:r w:rsidR="00F76FFB" w:rsidRPr="00842303">
                  <w:rPr>
                    <w:rFonts w:ascii="Segoe UI Symbol" w:eastAsia="Times New Roman" w:hAnsi="Segoe UI Symbol" w:cs="Segoe UI Symbol"/>
                    <w:iCs/>
                    <w:lang w:bidi="en-US"/>
                  </w:rPr>
                  <w:t>☐</w:t>
                </w:r>
              </w:sdtContent>
            </w:sdt>
            <w:r w:rsidR="00F76FFB" w:rsidRPr="00842303">
              <w:rPr>
                <w:rFonts w:asciiTheme="minorHAnsi" w:eastAsia="Times New Roman" w:hAnsiTheme="minorHAnsi" w:cstheme="minorHAnsi"/>
                <w:iCs/>
                <w:lang w:bidi="en-US"/>
              </w:rPr>
              <w:t xml:space="preserve"> Yes – </w:t>
            </w:r>
            <w:r w:rsidR="00F76FFB">
              <w:rPr>
                <w:rFonts w:asciiTheme="minorHAnsi" w:eastAsia="Times New Roman" w:hAnsiTheme="minorHAnsi" w:cstheme="minorHAnsi"/>
                <w:iCs/>
                <w:lang w:bidi="en-US"/>
              </w:rPr>
              <w:t xml:space="preserve">MAGI </w:t>
            </w:r>
            <w:r w:rsidR="00F76FFB" w:rsidRPr="00842303">
              <w:rPr>
                <w:rFonts w:asciiTheme="minorHAnsi" w:eastAsia="Times New Roman" w:hAnsiTheme="minorHAnsi" w:cstheme="minorHAnsi"/>
                <w:i/>
                <w:iCs/>
                <w:lang w:bidi="en-US"/>
              </w:rPr>
              <w:t>ex parte</w:t>
            </w:r>
            <w:r w:rsidR="00F76FFB" w:rsidRPr="00842303">
              <w:rPr>
                <w:rFonts w:asciiTheme="minorHAnsi" w:eastAsia="Times New Roman" w:hAnsiTheme="minorHAnsi" w:cstheme="minorHAnsi"/>
                <w:iCs/>
                <w:lang w:bidi="en-US"/>
              </w:rPr>
              <w:t xml:space="preserve"> renewals</w:t>
            </w:r>
            <w:r w:rsidR="00F76FFB">
              <w:rPr>
                <w:rFonts w:asciiTheme="minorHAnsi" w:eastAsia="Times New Roman" w:hAnsiTheme="minorHAnsi" w:cstheme="minorHAnsi"/>
                <w:iCs/>
                <w:lang w:bidi="en-US"/>
              </w:rPr>
              <w:t xml:space="preserve"> </w:t>
            </w:r>
            <w:r w:rsidR="00F76FFB" w:rsidRPr="00842303">
              <w:rPr>
                <w:rFonts w:asciiTheme="minorHAnsi" w:eastAsia="Times New Roman" w:hAnsiTheme="minorHAnsi" w:cstheme="minorHAnsi"/>
                <w:iCs/>
                <w:lang w:bidi="en-US"/>
              </w:rPr>
              <w:t>and sent renewal forms</w:t>
            </w:r>
          </w:p>
          <w:p w14:paraId="50395B1F" w14:textId="385F906A" w:rsidR="00F76FFB" w:rsidRPr="00842303" w:rsidRDefault="004430F9" w:rsidP="00875985">
            <w:pPr>
              <w:spacing w:before="7"/>
              <w:rPr>
                <w:rFonts w:asciiTheme="minorHAnsi" w:eastAsia="Times New Roman" w:hAnsiTheme="minorHAnsi" w:cstheme="minorHAnsi"/>
                <w:lang w:bidi="en-US"/>
              </w:rPr>
            </w:pPr>
            <w:sdt>
              <w:sdtPr>
                <w:rPr>
                  <w:rFonts w:asciiTheme="minorHAnsi" w:eastAsia="Times New Roman" w:hAnsiTheme="minorHAnsi" w:cstheme="minorHAnsi"/>
                  <w:iCs/>
                  <w:lang w:bidi="en-US"/>
                </w:rPr>
                <w:id w:val="-1037034976"/>
                <w14:checkbox>
                  <w14:checked w14:val="0"/>
                  <w14:checkedState w14:val="2612" w14:font="MS Gothic"/>
                  <w14:uncheckedState w14:val="2610" w14:font="MS Gothic"/>
                </w14:checkbox>
              </w:sdtPr>
              <w:sdtEndPr/>
              <w:sdtContent>
                <w:r w:rsidR="00F76FFB" w:rsidRPr="00842303">
                  <w:rPr>
                    <w:rFonts w:ascii="Segoe UI Symbol" w:eastAsia="Times New Roman" w:hAnsi="Segoe UI Symbol" w:cs="Segoe UI Symbol"/>
                    <w:iCs/>
                    <w:lang w:bidi="en-US"/>
                  </w:rPr>
                  <w:t>☐</w:t>
                </w:r>
              </w:sdtContent>
            </w:sdt>
            <w:r w:rsidR="00F76FFB" w:rsidRPr="00842303">
              <w:rPr>
                <w:rFonts w:asciiTheme="minorHAnsi" w:eastAsia="Times New Roman" w:hAnsiTheme="minorHAnsi" w:cstheme="minorHAnsi"/>
                <w:iCs/>
                <w:lang w:bidi="en-US"/>
              </w:rPr>
              <w:t xml:space="preserve"> Yes – non-MAGI renewals</w:t>
            </w:r>
          </w:p>
          <w:p w14:paraId="4369A4F4" w14:textId="22FD3E68" w:rsidR="00E67CEA" w:rsidRDefault="004430F9" w:rsidP="00875985">
            <w:pPr>
              <w:spacing w:before="7"/>
              <w:rPr>
                <w:rFonts w:asciiTheme="minorHAnsi" w:eastAsia="Times New Roman" w:hAnsiTheme="minorHAnsi" w:cstheme="minorHAnsi"/>
                <w:lang w:bidi="en-US"/>
              </w:rPr>
            </w:pPr>
            <w:sdt>
              <w:sdtPr>
                <w:rPr>
                  <w:rFonts w:asciiTheme="minorHAnsi" w:eastAsia="Times New Roman" w:hAnsiTheme="minorHAnsi" w:cstheme="minorHAnsi"/>
                  <w:lang w:bidi="en-US"/>
                </w:rPr>
                <w:id w:val="1162434951"/>
                <w14:checkbox>
                  <w14:checked w14:val="0"/>
                  <w14:checkedState w14:val="2612" w14:font="MS Gothic"/>
                  <w14:uncheckedState w14:val="2610" w14:font="MS Gothic"/>
                </w14:checkbox>
              </w:sdtPr>
              <w:sdtEndPr/>
              <w:sdtContent>
                <w:r w:rsidR="00F76FFB" w:rsidRPr="00842303">
                  <w:rPr>
                    <w:rFonts w:ascii="Segoe UI Symbol" w:eastAsia="Times New Roman" w:hAnsi="Segoe UI Symbol" w:cs="Segoe UI Symbol"/>
                    <w:lang w:bidi="en-US"/>
                  </w:rPr>
                  <w:t>☐</w:t>
                </w:r>
              </w:sdtContent>
            </w:sdt>
            <w:r w:rsidR="00F76FFB" w:rsidRPr="00842303">
              <w:rPr>
                <w:rFonts w:asciiTheme="minorHAnsi" w:eastAsia="Times New Roman" w:hAnsiTheme="minorHAnsi" w:cstheme="minorHAnsi"/>
                <w:lang w:bidi="en-US"/>
              </w:rPr>
              <w:t xml:space="preserve"> No</w:t>
            </w:r>
          </w:p>
          <w:p w14:paraId="46EA05AC" w14:textId="77777777" w:rsidR="00E67CEA" w:rsidRPr="00E67CEA" w:rsidRDefault="00E67CEA" w:rsidP="00F1501A">
            <w:pPr>
              <w:rPr>
                <w:rFonts w:asciiTheme="minorHAnsi" w:eastAsia="Times New Roman" w:hAnsiTheme="minorHAnsi" w:cstheme="minorHAnsi"/>
                <w:lang w:bidi="en-US"/>
              </w:rPr>
            </w:pPr>
          </w:p>
          <w:p w14:paraId="1AE879F1" w14:textId="77777777" w:rsidR="00E67CEA" w:rsidRDefault="00E67CEA" w:rsidP="00E67CEA">
            <w:pPr>
              <w:rPr>
                <w:rFonts w:asciiTheme="minorHAnsi" w:eastAsia="Times New Roman" w:hAnsiTheme="minorHAnsi" w:cstheme="minorHAnsi"/>
                <w:lang w:bidi="en-US"/>
              </w:rPr>
            </w:pPr>
          </w:p>
          <w:p w14:paraId="639ADFF3" w14:textId="77777777" w:rsidR="00F76FFB" w:rsidRPr="00E67CEA" w:rsidRDefault="00F76FFB" w:rsidP="00F1501A">
            <w:pPr>
              <w:jc w:val="right"/>
              <w:rPr>
                <w:rFonts w:asciiTheme="minorHAnsi" w:eastAsia="Times New Roman" w:hAnsiTheme="minorHAnsi" w:cstheme="minorHAnsi"/>
                <w:lang w:bidi="en-US"/>
              </w:rPr>
            </w:pPr>
          </w:p>
        </w:tc>
        <w:tc>
          <w:tcPr>
            <w:tcW w:w="1222" w:type="pct"/>
          </w:tcPr>
          <w:p w14:paraId="478E5F78" w14:textId="4CB953CF" w:rsidR="00F76FFB" w:rsidRDefault="00B71421" w:rsidP="00875985">
            <w:pPr>
              <w:spacing w:before="7"/>
              <w:rPr>
                <w:rFonts w:asciiTheme="minorHAnsi" w:eastAsia="Times New Roman" w:hAnsiTheme="minorHAnsi" w:cstheme="minorHAnsi"/>
                <w:bCs/>
                <w:lang w:bidi="en-US"/>
              </w:rPr>
            </w:pPr>
            <w:r w:rsidRPr="00B71421">
              <w:rPr>
                <w:rFonts w:asciiTheme="minorHAnsi" w:eastAsia="Times New Roman" w:hAnsiTheme="minorHAnsi" w:cstheme="minorHAnsi"/>
                <w:bCs/>
                <w:lang w:bidi="en-US"/>
              </w:rPr>
              <w:t xml:space="preserve">If the state has been conducting renewals, is the state grouping individuals who could not be successfully renewed </w:t>
            </w:r>
            <w:r w:rsidR="00F1501A">
              <w:rPr>
                <w:rFonts w:asciiTheme="minorHAnsi" w:eastAsia="Times New Roman" w:hAnsiTheme="minorHAnsi" w:cstheme="minorHAnsi"/>
                <w:bCs/>
                <w:lang w:bidi="en-US"/>
              </w:rPr>
              <w:t xml:space="preserve">but </w:t>
            </w:r>
            <w:r w:rsidR="00E67CEA">
              <w:rPr>
                <w:rFonts w:asciiTheme="minorHAnsi" w:eastAsia="Times New Roman" w:hAnsiTheme="minorHAnsi" w:cstheme="minorHAnsi"/>
                <w:bCs/>
                <w:lang w:bidi="en-US"/>
              </w:rPr>
              <w:t>were retained in coverage</w:t>
            </w:r>
            <w:r w:rsidR="00675170">
              <w:rPr>
                <w:rFonts w:asciiTheme="minorHAnsi" w:eastAsia="Times New Roman" w:hAnsiTheme="minorHAnsi" w:cstheme="minorHAnsi"/>
                <w:bCs/>
                <w:lang w:bidi="en-US"/>
              </w:rPr>
              <w:t xml:space="preserve"> </w:t>
            </w:r>
            <w:r w:rsidRPr="00B71421">
              <w:rPr>
                <w:rFonts w:asciiTheme="minorHAnsi" w:eastAsia="Times New Roman" w:hAnsiTheme="minorHAnsi" w:cstheme="minorHAnsi"/>
                <w:bCs/>
                <w:lang w:bidi="en-US"/>
              </w:rPr>
              <w:t xml:space="preserve">due to the </w:t>
            </w:r>
            <w:r w:rsidR="00BF44BE">
              <w:rPr>
                <w:rFonts w:asciiTheme="minorHAnsi" w:eastAsia="Times New Roman" w:hAnsiTheme="minorHAnsi" w:cstheme="minorHAnsi"/>
                <w:bCs/>
                <w:lang w:bidi="en-US"/>
              </w:rPr>
              <w:t>continuous enrollment condition</w:t>
            </w:r>
            <w:r w:rsidR="00675170">
              <w:rPr>
                <w:rFonts w:asciiTheme="minorHAnsi" w:eastAsia="Times New Roman" w:hAnsiTheme="minorHAnsi" w:cstheme="minorHAnsi"/>
                <w:bCs/>
                <w:lang w:bidi="en-US"/>
              </w:rPr>
              <w:t xml:space="preserve"> and prioritizing </w:t>
            </w:r>
            <w:r w:rsidR="00E67CEA">
              <w:rPr>
                <w:rFonts w:asciiTheme="minorHAnsi" w:eastAsia="Times New Roman" w:hAnsiTheme="minorHAnsi" w:cstheme="minorHAnsi"/>
                <w:bCs/>
                <w:lang w:bidi="en-US"/>
              </w:rPr>
              <w:t>them</w:t>
            </w:r>
            <w:r w:rsidR="00675170">
              <w:rPr>
                <w:rFonts w:asciiTheme="minorHAnsi" w:eastAsia="Times New Roman" w:hAnsiTheme="minorHAnsi" w:cstheme="minorHAnsi"/>
                <w:bCs/>
                <w:lang w:bidi="en-US"/>
              </w:rPr>
              <w:t xml:space="preserve"> for renewal following the end of the </w:t>
            </w:r>
            <w:r w:rsidR="00BF44BE">
              <w:rPr>
                <w:rFonts w:asciiTheme="minorHAnsi" w:eastAsia="Times New Roman" w:hAnsiTheme="minorHAnsi" w:cstheme="minorHAnsi"/>
                <w:bCs/>
                <w:lang w:bidi="en-US"/>
              </w:rPr>
              <w:t>continuous enrollment condition</w:t>
            </w:r>
            <w:r w:rsidRPr="00B71421">
              <w:rPr>
                <w:rFonts w:asciiTheme="minorHAnsi" w:eastAsia="Times New Roman" w:hAnsiTheme="minorHAnsi" w:cstheme="minorHAnsi"/>
                <w:bCs/>
                <w:lang w:bidi="en-US"/>
              </w:rPr>
              <w:t>?</w:t>
            </w:r>
            <w:r w:rsidR="00E73D99">
              <w:rPr>
                <w:rFonts w:asciiTheme="minorHAnsi" w:eastAsia="Times New Roman" w:hAnsiTheme="minorHAnsi" w:cstheme="minorHAnsi"/>
                <w:bCs/>
                <w:lang w:bidi="en-US"/>
              </w:rPr>
              <w:t xml:space="preserve">  </w:t>
            </w:r>
            <w:r w:rsidR="0082179F">
              <w:rPr>
                <w:rFonts w:asciiTheme="minorHAnsi" w:eastAsia="Times New Roman" w:hAnsiTheme="minorHAnsi" w:cstheme="minorHAnsi"/>
                <w:bCs/>
                <w:lang w:bidi="en-US"/>
              </w:rPr>
              <w:t xml:space="preserve">If </w:t>
            </w:r>
            <w:r w:rsidR="00421A36">
              <w:rPr>
                <w:rFonts w:asciiTheme="minorHAnsi" w:eastAsia="Times New Roman" w:hAnsiTheme="minorHAnsi" w:cstheme="minorHAnsi"/>
                <w:bCs/>
                <w:lang w:bidi="en-US"/>
              </w:rPr>
              <w:t xml:space="preserve">the </w:t>
            </w:r>
            <w:r w:rsidR="0082179F">
              <w:rPr>
                <w:rFonts w:asciiTheme="minorHAnsi" w:eastAsia="Times New Roman" w:hAnsiTheme="minorHAnsi" w:cstheme="minorHAnsi"/>
                <w:bCs/>
                <w:lang w:bidi="en-US"/>
              </w:rPr>
              <w:t xml:space="preserve">state has not been able to conduct renewals, </w:t>
            </w:r>
            <w:r w:rsidR="00886831">
              <w:rPr>
                <w:rFonts w:asciiTheme="minorHAnsi" w:eastAsia="Times New Roman" w:hAnsiTheme="minorHAnsi" w:cstheme="minorHAnsi"/>
                <w:bCs/>
                <w:lang w:bidi="en-US"/>
              </w:rPr>
              <w:t>how is</w:t>
            </w:r>
            <w:r w:rsidR="0082179F">
              <w:rPr>
                <w:rFonts w:asciiTheme="minorHAnsi" w:eastAsia="Times New Roman" w:hAnsiTheme="minorHAnsi" w:cstheme="minorHAnsi"/>
                <w:bCs/>
                <w:lang w:bidi="en-US"/>
              </w:rPr>
              <w:t xml:space="preserve"> </w:t>
            </w:r>
            <w:r w:rsidR="00421A36">
              <w:rPr>
                <w:rFonts w:asciiTheme="minorHAnsi" w:eastAsia="Times New Roman" w:hAnsiTheme="minorHAnsi" w:cstheme="minorHAnsi"/>
                <w:bCs/>
                <w:lang w:bidi="en-US"/>
              </w:rPr>
              <w:t xml:space="preserve">the </w:t>
            </w:r>
            <w:r w:rsidR="0082179F">
              <w:rPr>
                <w:rFonts w:asciiTheme="minorHAnsi" w:eastAsia="Times New Roman" w:hAnsiTheme="minorHAnsi" w:cstheme="minorHAnsi"/>
                <w:bCs/>
                <w:lang w:bidi="en-US"/>
              </w:rPr>
              <w:t>state</w:t>
            </w:r>
            <w:r w:rsidR="00886831">
              <w:rPr>
                <w:rFonts w:asciiTheme="minorHAnsi" w:eastAsia="Times New Roman" w:hAnsiTheme="minorHAnsi" w:cstheme="minorHAnsi"/>
                <w:bCs/>
                <w:lang w:bidi="en-US"/>
              </w:rPr>
              <w:t xml:space="preserve"> engaged in</w:t>
            </w:r>
            <w:r w:rsidR="0082179F">
              <w:rPr>
                <w:rFonts w:asciiTheme="minorHAnsi" w:eastAsia="Times New Roman" w:hAnsiTheme="minorHAnsi" w:cstheme="minorHAnsi"/>
                <w:bCs/>
                <w:lang w:bidi="en-US"/>
              </w:rPr>
              <w:t xml:space="preserve"> </w:t>
            </w:r>
            <w:r w:rsidR="00956DA7">
              <w:rPr>
                <w:rFonts w:asciiTheme="minorHAnsi" w:eastAsia="Times New Roman" w:hAnsiTheme="minorHAnsi" w:cstheme="minorHAnsi"/>
                <w:bCs/>
                <w:lang w:bidi="en-US"/>
              </w:rPr>
              <w:t>planning</w:t>
            </w:r>
            <w:r w:rsidR="006E7E26">
              <w:rPr>
                <w:rFonts w:asciiTheme="minorHAnsi" w:eastAsia="Times New Roman" w:hAnsiTheme="minorHAnsi" w:cstheme="minorHAnsi"/>
                <w:bCs/>
                <w:lang w:bidi="en-US"/>
              </w:rPr>
              <w:t xml:space="preserve"> to resume</w:t>
            </w:r>
            <w:r w:rsidR="00886831">
              <w:rPr>
                <w:rFonts w:asciiTheme="minorHAnsi" w:eastAsia="Times New Roman" w:hAnsiTheme="minorHAnsi" w:cstheme="minorHAnsi"/>
                <w:bCs/>
                <w:lang w:bidi="en-US"/>
              </w:rPr>
              <w:t xml:space="preserve"> renewals</w:t>
            </w:r>
            <w:r w:rsidR="006E7E26">
              <w:rPr>
                <w:rFonts w:asciiTheme="minorHAnsi" w:eastAsia="Times New Roman" w:hAnsiTheme="minorHAnsi" w:cstheme="minorHAnsi"/>
                <w:bCs/>
                <w:lang w:bidi="en-US"/>
              </w:rPr>
              <w:t>?</w:t>
            </w:r>
            <w:r w:rsidR="0057464F">
              <w:rPr>
                <w:rFonts w:asciiTheme="minorHAnsi" w:eastAsia="Times New Roman" w:hAnsiTheme="minorHAnsi" w:cstheme="minorHAnsi"/>
                <w:bCs/>
                <w:lang w:bidi="en-US"/>
              </w:rPr>
              <w:t xml:space="preserve"> </w:t>
            </w:r>
            <w:r w:rsidR="00CB0951">
              <w:rPr>
                <w:rFonts w:asciiTheme="minorHAnsi" w:eastAsia="Times New Roman" w:hAnsiTheme="minorHAnsi" w:cstheme="minorHAnsi"/>
                <w:bCs/>
                <w:lang w:bidi="en-US"/>
              </w:rPr>
              <w:t xml:space="preserve"> </w:t>
            </w:r>
            <w:r w:rsidR="000261DC">
              <w:rPr>
                <w:rFonts w:asciiTheme="minorHAnsi" w:eastAsia="Times New Roman" w:hAnsiTheme="minorHAnsi" w:cstheme="minorHAnsi"/>
                <w:bCs/>
                <w:lang w:bidi="en-US"/>
              </w:rPr>
              <w:t xml:space="preserve">How is </w:t>
            </w:r>
            <w:r w:rsidR="00B4442C">
              <w:rPr>
                <w:rFonts w:asciiTheme="minorHAnsi" w:eastAsia="Times New Roman" w:hAnsiTheme="minorHAnsi" w:cstheme="minorHAnsi"/>
                <w:bCs/>
                <w:lang w:bidi="en-US"/>
              </w:rPr>
              <w:t>the</w:t>
            </w:r>
            <w:r w:rsidR="000261DC">
              <w:rPr>
                <w:rFonts w:asciiTheme="minorHAnsi" w:eastAsia="Times New Roman" w:hAnsiTheme="minorHAnsi" w:cstheme="minorHAnsi"/>
                <w:bCs/>
                <w:lang w:bidi="en-US"/>
              </w:rPr>
              <w:t xml:space="preserve"> state planning to mitigate returned mail?</w:t>
            </w:r>
          </w:p>
          <w:p w14:paraId="3BF1518A" w14:textId="77777777" w:rsidR="0082179F" w:rsidRPr="0082179F" w:rsidRDefault="0082179F" w:rsidP="00875985">
            <w:pPr>
              <w:spacing w:before="7"/>
              <w:rPr>
                <w:rFonts w:asciiTheme="minorHAnsi" w:eastAsia="Times New Roman" w:hAnsiTheme="minorHAnsi" w:cstheme="minorHAnsi"/>
                <w:bCs/>
                <w:lang w:bidi="en-US"/>
              </w:rPr>
            </w:pPr>
            <w:r>
              <w:rPr>
                <w:rFonts w:asciiTheme="minorHAnsi" w:eastAsia="Times New Roman" w:hAnsiTheme="minorHAnsi" w:cstheme="minorHAnsi"/>
                <w:bCs/>
                <w:lang w:bidi="en-US"/>
              </w:rPr>
              <w:t xml:space="preserve"> </w:t>
            </w:r>
          </w:p>
        </w:tc>
      </w:tr>
      <w:tr w:rsidR="00F76FFB" w:rsidRPr="00842303" w14:paraId="3D6D16B6" w14:textId="77777777" w:rsidTr="6493D36F">
        <w:trPr>
          <w:cantSplit/>
          <w:trHeight w:val="737"/>
        </w:trPr>
        <w:tc>
          <w:tcPr>
            <w:tcW w:w="2421" w:type="pct"/>
          </w:tcPr>
          <w:p w14:paraId="191FE116" w14:textId="77777777" w:rsidR="00F76FFB" w:rsidRPr="00842303" w:rsidRDefault="00B9375E" w:rsidP="00DA2575">
            <w:pPr>
              <w:numPr>
                <w:ilvl w:val="0"/>
                <w:numId w:val="2"/>
              </w:numPr>
              <w:spacing w:before="7"/>
              <w:rPr>
                <w:rFonts w:asciiTheme="minorHAnsi" w:eastAsia="Times New Roman" w:hAnsiTheme="minorHAnsi" w:cstheme="minorHAnsi"/>
                <w:lang w:bidi="en-US"/>
              </w:rPr>
            </w:pPr>
            <w:r>
              <w:lastRenderedPageBreak/>
              <w:t>On average, what share of individuals</w:t>
            </w:r>
            <w:r w:rsidR="000261DC">
              <w:t xml:space="preserve"> can</w:t>
            </w:r>
            <w:r>
              <w:t xml:space="preserve"> be renewed </w:t>
            </w:r>
            <w:r w:rsidR="001B030E">
              <w:t xml:space="preserve">on an </w:t>
            </w:r>
            <w:r w:rsidRPr="00B9375E">
              <w:rPr>
                <w:i/>
                <w:iCs/>
              </w:rPr>
              <w:t>ex parte</w:t>
            </w:r>
            <w:r w:rsidR="001B030E">
              <w:rPr>
                <w:iCs/>
              </w:rPr>
              <w:t xml:space="preserve"> basis</w:t>
            </w:r>
            <w:r>
              <w:t>?</w:t>
            </w:r>
          </w:p>
        </w:tc>
        <w:tc>
          <w:tcPr>
            <w:tcW w:w="1357" w:type="pct"/>
          </w:tcPr>
          <w:p w14:paraId="770ADB1C" w14:textId="77777777" w:rsidR="00F76FFB" w:rsidRPr="00165A51" w:rsidRDefault="00F76FFB" w:rsidP="00875985">
            <w:pPr>
              <w:spacing w:before="7"/>
              <w:rPr>
                <w:rFonts w:asciiTheme="minorHAnsi" w:eastAsia="Times New Roman" w:hAnsiTheme="minorHAnsi" w:cstheme="minorHAnsi"/>
                <w:i/>
                <w:iCs/>
                <w:lang w:bidi="en-US"/>
              </w:rPr>
            </w:pPr>
            <w:r w:rsidRPr="00165A51">
              <w:rPr>
                <w:rFonts w:asciiTheme="minorHAnsi" w:eastAsia="Times New Roman" w:hAnsiTheme="minorHAnsi" w:cstheme="minorHAnsi"/>
                <w:lang w:bidi="en-US"/>
              </w:rPr>
              <w:t xml:space="preserve">MAGI renewals able to be completed </w:t>
            </w:r>
            <w:r w:rsidRPr="00165A51">
              <w:rPr>
                <w:rFonts w:asciiTheme="minorHAnsi" w:eastAsia="Times New Roman" w:hAnsiTheme="minorHAnsi" w:cstheme="minorHAnsi"/>
                <w:i/>
                <w:iCs/>
                <w:lang w:bidi="en-US"/>
              </w:rPr>
              <w:t xml:space="preserve">ex parte: </w:t>
            </w:r>
            <w:r w:rsidRPr="00165A51">
              <w:rPr>
                <w:rFonts w:asciiTheme="minorHAnsi" w:eastAsia="Times New Roman" w:hAnsiTheme="minorHAnsi" w:cstheme="minorHAnsi"/>
                <w:color w:val="4F81BD" w:themeColor="accent1"/>
                <w:lang w:bidi="en-US"/>
              </w:rPr>
              <w:t xml:space="preserve">[Enter </w:t>
            </w:r>
            <w:r w:rsidR="00D27312">
              <w:rPr>
                <w:rFonts w:asciiTheme="minorHAnsi" w:eastAsia="Times New Roman" w:hAnsiTheme="minorHAnsi" w:cstheme="minorHAnsi"/>
                <w:color w:val="4F81BD" w:themeColor="accent1"/>
                <w:lang w:bidi="en-US"/>
              </w:rPr>
              <w:t>percent</w:t>
            </w:r>
            <w:r w:rsidRPr="00165A51">
              <w:rPr>
                <w:rFonts w:asciiTheme="minorHAnsi" w:eastAsia="Times New Roman" w:hAnsiTheme="minorHAnsi" w:cstheme="minorHAnsi"/>
                <w:color w:val="4F81BD" w:themeColor="accent1"/>
                <w:lang w:bidi="en-US"/>
              </w:rPr>
              <w:t>]</w:t>
            </w:r>
            <w:r w:rsidRPr="00165A51">
              <w:rPr>
                <w:rFonts w:asciiTheme="minorHAnsi" w:eastAsia="Times New Roman" w:hAnsiTheme="minorHAnsi" w:cstheme="minorHAnsi"/>
                <w:i/>
                <w:iCs/>
                <w:color w:val="4F81BD" w:themeColor="accent1"/>
                <w:lang w:bidi="en-US"/>
              </w:rPr>
              <w:t xml:space="preserve"> </w:t>
            </w:r>
          </w:p>
          <w:p w14:paraId="7684C45E" w14:textId="77777777" w:rsidR="00F76FFB" w:rsidRPr="00165A51" w:rsidRDefault="00F76FFB" w:rsidP="00875985">
            <w:pPr>
              <w:spacing w:before="7"/>
              <w:rPr>
                <w:rFonts w:asciiTheme="minorHAnsi" w:eastAsia="Times New Roman" w:hAnsiTheme="minorHAnsi" w:cstheme="minorHAnsi"/>
                <w:color w:val="4F81BD" w:themeColor="accent1"/>
                <w:lang w:bidi="en-US"/>
              </w:rPr>
            </w:pPr>
            <w:r w:rsidRPr="00165A51">
              <w:rPr>
                <w:rFonts w:asciiTheme="minorHAnsi" w:eastAsia="Times New Roman" w:hAnsiTheme="minorHAnsi" w:cstheme="minorHAnsi"/>
                <w:lang w:bidi="en-US"/>
              </w:rPr>
              <w:t xml:space="preserve">Non-MAGI </w:t>
            </w:r>
            <w:r w:rsidR="00165A51" w:rsidRPr="00165A51">
              <w:rPr>
                <w:rFonts w:asciiTheme="minorHAnsi" w:eastAsia="Times New Roman" w:hAnsiTheme="minorHAnsi" w:cstheme="minorHAnsi"/>
                <w:lang w:bidi="en-US"/>
              </w:rPr>
              <w:t xml:space="preserve">renewals </w:t>
            </w:r>
            <w:r w:rsidRPr="00165A51">
              <w:rPr>
                <w:rFonts w:asciiTheme="minorHAnsi" w:eastAsia="Times New Roman" w:hAnsiTheme="minorHAnsi" w:cstheme="minorHAnsi"/>
                <w:lang w:bidi="en-US"/>
              </w:rPr>
              <w:t xml:space="preserve">able to be completed </w:t>
            </w:r>
            <w:r w:rsidRPr="00165A51">
              <w:rPr>
                <w:rFonts w:asciiTheme="minorHAnsi" w:eastAsia="Times New Roman" w:hAnsiTheme="minorHAnsi" w:cstheme="minorHAnsi"/>
                <w:i/>
                <w:iCs/>
                <w:lang w:bidi="en-US"/>
              </w:rPr>
              <w:t>ex parte</w:t>
            </w:r>
            <w:r w:rsidRPr="00165A51">
              <w:rPr>
                <w:rFonts w:asciiTheme="minorHAnsi" w:eastAsia="Times New Roman" w:hAnsiTheme="minorHAnsi" w:cstheme="minorHAnsi"/>
                <w:lang w:bidi="en-US"/>
              </w:rPr>
              <w:t xml:space="preserve">: </w:t>
            </w:r>
            <w:r w:rsidRPr="00165A51">
              <w:rPr>
                <w:rFonts w:asciiTheme="minorHAnsi" w:eastAsia="Times New Roman" w:hAnsiTheme="minorHAnsi" w:cstheme="minorHAnsi"/>
                <w:color w:val="4F81BD" w:themeColor="accent1"/>
                <w:lang w:bidi="en-US"/>
              </w:rPr>
              <w:t xml:space="preserve">[Enter </w:t>
            </w:r>
            <w:r w:rsidR="00D27312">
              <w:rPr>
                <w:rFonts w:asciiTheme="minorHAnsi" w:eastAsia="Times New Roman" w:hAnsiTheme="minorHAnsi" w:cstheme="minorHAnsi"/>
                <w:color w:val="4F81BD" w:themeColor="accent1"/>
                <w:lang w:bidi="en-US"/>
              </w:rPr>
              <w:t>percent</w:t>
            </w:r>
            <w:r w:rsidRPr="00165A51">
              <w:rPr>
                <w:rFonts w:asciiTheme="minorHAnsi" w:eastAsia="Times New Roman" w:hAnsiTheme="minorHAnsi" w:cstheme="minorHAnsi"/>
                <w:color w:val="4F81BD" w:themeColor="accent1"/>
                <w:lang w:bidi="en-US"/>
              </w:rPr>
              <w:t>]</w:t>
            </w:r>
          </w:p>
          <w:p w14:paraId="5E6E4C72" w14:textId="77777777" w:rsidR="00B9375E" w:rsidRPr="00165A51" w:rsidRDefault="00B9375E" w:rsidP="00886831">
            <w:pPr>
              <w:pStyle w:val="ListBullet"/>
              <w:numPr>
                <w:ilvl w:val="0"/>
                <w:numId w:val="0"/>
              </w:numPr>
              <w:rPr>
                <w:rFonts w:asciiTheme="minorHAnsi" w:eastAsia="Times New Roman" w:hAnsiTheme="minorHAnsi" w:cstheme="minorHAnsi"/>
                <w:lang w:bidi="en-US"/>
              </w:rPr>
            </w:pPr>
          </w:p>
        </w:tc>
        <w:tc>
          <w:tcPr>
            <w:tcW w:w="1222" w:type="pct"/>
          </w:tcPr>
          <w:p w14:paraId="4877ACD2" w14:textId="7CD11A57" w:rsidR="005879AE" w:rsidRPr="00165A51" w:rsidRDefault="00255194" w:rsidP="00FF0EF7">
            <w:pPr>
              <w:spacing w:before="7"/>
              <w:rPr>
                <w:rFonts w:asciiTheme="minorHAnsi" w:eastAsia="Times New Roman" w:hAnsiTheme="minorHAnsi" w:cstheme="minorHAnsi"/>
                <w:lang w:bidi="en-US"/>
              </w:rPr>
            </w:pPr>
            <w:r>
              <w:t xml:space="preserve">What barriers, if any, has the state identified to higher </w:t>
            </w:r>
            <w:r w:rsidRPr="0098408B">
              <w:rPr>
                <w:i/>
                <w:iCs/>
              </w:rPr>
              <w:t xml:space="preserve">ex </w:t>
            </w:r>
            <w:proofErr w:type="spellStart"/>
            <w:r w:rsidRPr="0098408B">
              <w:rPr>
                <w:i/>
                <w:iCs/>
              </w:rPr>
              <w:t>parte</w:t>
            </w:r>
            <w:proofErr w:type="spellEnd"/>
            <w:r>
              <w:t xml:space="preserve"> rates?</w:t>
            </w:r>
            <w:r w:rsidR="00E73D99">
              <w:t xml:space="preserve"> </w:t>
            </w:r>
            <w:r w:rsidR="00CB0951">
              <w:t xml:space="preserve"> </w:t>
            </w:r>
            <w:r>
              <w:t xml:space="preserve">What </w:t>
            </w:r>
            <w:r w:rsidR="00D16D46">
              <w:t>strategies</w:t>
            </w:r>
            <w:r>
              <w:t>, if any, could the state consider to increase ex parte rates to reduce overall manual renewal caseload volume?</w:t>
            </w:r>
            <w:r w:rsidR="00157857" w:rsidRPr="00165A51">
              <w:rPr>
                <w:rFonts w:asciiTheme="minorHAnsi" w:eastAsia="Times New Roman" w:hAnsiTheme="minorHAnsi" w:cstheme="minorHAnsi"/>
                <w:lang w:bidi="en-US"/>
              </w:rPr>
              <w:t xml:space="preserve"> </w:t>
            </w:r>
          </w:p>
          <w:p w14:paraId="322DD459" w14:textId="77777777" w:rsidR="006C67C6" w:rsidRPr="00165A51" w:rsidRDefault="006C67C6" w:rsidP="00875985">
            <w:pPr>
              <w:spacing w:before="7"/>
              <w:rPr>
                <w:rFonts w:asciiTheme="minorHAnsi" w:eastAsia="Times New Roman" w:hAnsiTheme="minorHAnsi" w:cstheme="minorHAnsi"/>
                <w:lang w:bidi="en-US"/>
              </w:rPr>
            </w:pPr>
          </w:p>
          <w:p w14:paraId="23382EEE" w14:textId="2D34BE0B" w:rsidR="00F76FFB" w:rsidRPr="00165A51" w:rsidRDefault="00E67CEA" w:rsidP="00875985">
            <w:pPr>
              <w:spacing w:before="7"/>
              <w:rPr>
                <w:rFonts w:asciiTheme="minorHAnsi" w:eastAsia="Times New Roman" w:hAnsiTheme="minorHAnsi" w:cstheme="minorHAnsi"/>
                <w:lang w:bidi="en-US"/>
              </w:rPr>
            </w:pPr>
            <w:r>
              <w:t>What</w:t>
            </w:r>
            <w:r w:rsidR="005622F3" w:rsidRPr="00165A51">
              <w:t xml:space="preserve"> policy flexibilities, operational and workforce changes, and systems changes</w:t>
            </w:r>
            <w:r w:rsidR="00421A36">
              <w:t xml:space="preserve"> </w:t>
            </w:r>
            <w:r w:rsidR="00D16D46">
              <w:t xml:space="preserve">would </w:t>
            </w:r>
            <w:r w:rsidR="00345FF2">
              <w:t xml:space="preserve">the state </w:t>
            </w:r>
            <w:r w:rsidR="00D16D46">
              <w:t xml:space="preserve">need to be addressed to adopt the strategies to support </w:t>
            </w:r>
            <w:r w:rsidR="00D16D46">
              <w:rPr>
                <w:i/>
              </w:rPr>
              <w:t xml:space="preserve">ex parte </w:t>
            </w:r>
            <w:r w:rsidR="00D16D46">
              <w:t>renewals</w:t>
            </w:r>
            <w:r w:rsidR="005622F3" w:rsidRPr="00165A51">
              <w:t>?</w:t>
            </w:r>
          </w:p>
        </w:tc>
      </w:tr>
      <w:tr w:rsidR="00A5711B" w:rsidRPr="00842303" w14:paraId="5E4C1E74" w14:textId="77777777" w:rsidTr="6493D36F">
        <w:trPr>
          <w:cantSplit/>
          <w:trHeight w:val="50"/>
        </w:trPr>
        <w:tc>
          <w:tcPr>
            <w:tcW w:w="2421" w:type="pct"/>
          </w:tcPr>
          <w:p w14:paraId="1D0D0B14" w14:textId="53F6E38B" w:rsidR="00A5711B" w:rsidRDefault="00F76FFB" w:rsidP="00DA2575">
            <w:pPr>
              <w:numPr>
                <w:ilvl w:val="0"/>
                <w:numId w:val="2"/>
              </w:numPr>
              <w:spacing w:before="7"/>
              <w:rPr>
                <w:rFonts w:asciiTheme="minorHAnsi" w:eastAsia="Times New Roman" w:hAnsiTheme="minorHAnsi" w:cstheme="minorHAnsi"/>
                <w:lang w:bidi="en-US"/>
              </w:rPr>
            </w:pPr>
            <w:r>
              <w:rPr>
                <w:rFonts w:asciiTheme="minorHAnsi" w:eastAsia="Times New Roman" w:hAnsiTheme="minorHAnsi" w:cstheme="minorHAnsi"/>
                <w:lang w:bidi="en-US"/>
              </w:rPr>
              <w:t>Are notices and additional outreach and communications</w:t>
            </w:r>
            <w:r w:rsidR="00332F9B">
              <w:rPr>
                <w:rFonts w:asciiTheme="minorHAnsi" w:eastAsia="Times New Roman" w:hAnsiTheme="minorHAnsi" w:cstheme="minorHAnsi"/>
                <w:lang w:bidi="en-US"/>
              </w:rPr>
              <w:t xml:space="preserve"> (i.e.</w:t>
            </w:r>
            <w:r w:rsidR="00AF3E19">
              <w:rPr>
                <w:rFonts w:asciiTheme="minorHAnsi" w:eastAsia="Times New Roman" w:hAnsiTheme="minorHAnsi" w:cstheme="minorHAnsi"/>
                <w:lang w:bidi="en-US"/>
              </w:rPr>
              <w:t>,</w:t>
            </w:r>
            <w:r w:rsidR="00332F9B">
              <w:rPr>
                <w:rFonts w:asciiTheme="minorHAnsi" w:eastAsia="Times New Roman" w:hAnsiTheme="minorHAnsi" w:cstheme="minorHAnsi"/>
                <w:lang w:bidi="en-US"/>
              </w:rPr>
              <w:t xml:space="preserve"> flyers, social media posts, text</w:t>
            </w:r>
            <w:r w:rsidR="00AF3E19">
              <w:rPr>
                <w:rFonts w:asciiTheme="minorHAnsi" w:eastAsia="Times New Roman" w:hAnsiTheme="minorHAnsi" w:cstheme="minorHAnsi"/>
                <w:lang w:bidi="en-US"/>
              </w:rPr>
              <w:t xml:space="preserve"> messages</w:t>
            </w:r>
            <w:r w:rsidR="00332F9B">
              <w:rPr>
                <w:rFonts w:asciiTheme="minorHAnsi" w:eastAsia="Times New Roman" w:hAnsiTheme="minorHAnsi" w:cstheme="minorHAnsi"/>
                <w:lang w:bidi="en-US"/>
              </w:rPr>
              <w:t>)</w:t>
            </w:r>
            <w:r>
              <w:rPr>
                <w:rFonts w:asciiTheme="minorHAnsi" w:eastAsia="Times New Roman" w:hAnsiTheme="minorHAnsi" w:cstheme="minorHAnsi"/>
                <w:lang w:bidi="en-US"/>
              </w:rPr>
              <w:t xml:space="preserve"> </w:t>
            </w:r>
            <w:r w:rsidR="00A5711B">
              <w:rPr>
                <w:rFonts w:asciiTheme="minorHAnsi" w:eastAsia="Times New Roman" w:hAnsiTheme="minorHAnsi" w:cstheme="minorHAnsi"/>
                <w:lang w:bidi="en-US"/>
              </w:rPr>
              <w:t xml:space="preserve">currently being provided to </w:t>
            </w:r>
            <w:r w:rsidR="00612F52" w:rsidRPr="00612F52">
              <w:rPr>
                <w:rFonts w:asciiTheme="minorHAnsi" w:eastAsia="Times New Roman" w:hAnsiTheme="minorHAnsi" w:cstheme="minorHAnsi"/>
                <w:lang w:bidi="en-US"/>
              </w:rPr>
              <w:t xml:space="preserve">individuals </w:t>
            </w:r>
            <w:r w:rsidR="00A5711B">
              <w:rPr>
                <w:rFonts w:asciiTheme="minorHAnsi" w:eastAsia="Times New Roman" w:hAnsiTheme="minorHAnsi" w:cstheme="minorHAnsi"/>
                <w:lang w:bidi="en-US"/>
              </w:rPr>
              <w:t>about</w:t>
            </w:r>
            <w:r w:rsidR="0074275D">
              <w:rPr>
                <w:rFonts w:asciiTheme="minorHAnsi" w:eastAsia="Times New Roman" w:hAnsiTheme="minorHAnsi" w:cstheme="minorHAnsi"/>
                <w:lang w:bidi="en-US"/>
              </w:rPr>
              <w:t xml:space="preserve"> what to expect related to their coverage</w:t>
            </w:r>
            <w:r w:rsidR="00A5711B">
              <w:rPr>
                <w:rFonts w:asciiTheme="minorHAnsi" w:eastAsia="Times New Roman" w:hAnsiTheme="minorHAnsi" w:cstheme="minorHAnsi"/>
                <w:lang w:bidi="en-US"/>
              </w:rPr>
              <w:t>?</w:t>
            </w:r>
          </w:p>
          <w:p w14:paraId="186EB245" w14:textId="77777777" w:rsidR="00A5711B" w:rsidRPr="00842303" w:rsidRDefault="00A5711B" w:rsidP="00992C8D">
            <w:pPr>
              <w:spacing w:before="7"/>
              <w:ind w:left="360"/>
              <w:rPr>
                <w:rFonts w:asciiTheme="minorHAnsi" w:eastAsia="Times New Roman" w:hAnsiTheme="minorHAnsi" w:cstheme="minorHAnsi"/>
                <w:lang w:bidi="en-US"/>
              </w:rPr>
            </w:pPr>
          </w:p>
        </w:tc>
        <w:tc>
          <w:tcPr>
            <w:tcW w:w="1357" w:type="pct"/>
          </w:tcPr>
          <w:p w14:paraId="69B9B6CA" w14:textId="4B7A7997" w:rsidR="00A5711B" w:rsidRPr="00842303" w:rsidRDefault="004430F9" w:rsidP="00A5711B">
            <w:pPr>
              <w:spacing w:before="7"/>
              <w:rPr>
                <w:rFonts w:asciiTheme="minorHAnsi" w:eastAsia="Times New Roman" w:hAnsiTheme="minorHAnsi" w:cstheme="minorHAnsi"/>
                <w:lang w:bidi="en-US"/>
              </w:rPr>
            </w:pPr>
            <w:sdt>
              <w:sdtPr>
                <w:rPr>
                  <w:rFonts w:asciiTheme="minorHAnsi" w:eastAsia="Times New Roman" w:hAnsiTheme="minorHAnsi" w:cstheme="minorHAnsi"/>
                  <w:lang w:bidi="en-US"/>
                </w:rPr>
                <w:id w:val="-819493628"/>
                <w14:checkbox>
                  <w14:checked w14:val="0"/>
                  <w14:checkedState w14:val="2612" w14:font="MS Gothic"/>
                  <w14:uncheckedState w14:val="2610" w14:font="MS Gothic"/>
                </w14:checkbox>
              </w:sdtPr>
              <w:sdtEndPr/>
              <w:sdtContent>
                <w:r w:rsidR="00A5711B" w:rsidRPr="00842303">
                  <w:rPr>
                    <w:rFonts w:ascii="Segoe UI Symbol" w:eastAsia="Times New Roman" w:hAnsi="Segoe UI Symbol" w:cs="Segoe UI Symbol"/>
                    <w:lang w:bidi="en-US"/>
                  </w:rPr>
                  <w:t>☐</w:t>
                </w:r>
              </w:sdtContent>
            </w:sdt>
            <w:r w:rsidR="00A5711B" w:rsidRPr="00842303">
              <w:rPr>
                <w:rFonts w:asciiTheme="minorHAnsi" w:eastAsia="Times New Roman" w:hAnsiTheme="minorHAnsi" w:cstheme="minorHAnsi"/>
                <w:lang w:bidi="en-US"/>
              </w:rPr>
              <w:t xml:space="preserve"> Yes</w:t>
            </w:r>
          </w:p>
          <w:p w14:paraId="14A6464B" w14:textId="5B6A06E2" w:rsidR="003508A7" w:rsidRDefault="004430F9" w:rsidP="00A5711B">
            <w:pPr>
              <w:spacing w:before="7"/>
              <w:contextualSpacing/>
              <w:rPr>
                <w:rFonts w:asciiTheme="minorHAnsi" w:eastAsia="Times New Roman" w:hAnsiTheme="minorHAnsi" w:cstheme="minorHAnsi"/>
                <w:lang w:bidi="en-US"/>
              </w:rPr>
            </w:pPr>
            <w:sdt>
              <w:sdtPr>
                <w:rPr>
                  <w:rFonts w:asciiTheme="minorHAnsi" w:eastAsia="Times New Roman" w:hAnsiTheme="minorHAnsi" w:cstheme="minorHAnsi"/>
                  <w:lang w:bidi="en-US"/>
                </w:rPr>
                <w:id w:val="987282898"/>
                <w14:checkbox>
                  <w14:checked w14:val="0"/>
                  <w14:checkedState w14:val="2612" w14:font="MS Gothic"/>
                  <w14:uncheckedState w14:val="2610" w14:font="MS Gothic"/>
                </w14:checkbox>
              </w:sdtPr>
              <w:sdtEndPr/>
              <w:sdtContent>
                <w:r w:rsidR="00A5711B" w:rsidRPr="00842303">
                  <w:rPr>
                    <w:rFonts w:ascii="Segoe UI Symbol" w:eastAsia="Times New Roman" w:hAnsi="Segoe UI Symbol" w:cs="Segoe UI Symbol"/>
                    <w:lang w:bidi="en-US"/>
                  </w:rPr>
                  <w:t>☐</w:t>
                </w:r>
              </w:sdtContent>
            </w:sdt>
            <w:r w:rsidR="00A5711B" w:rsidRPr="00842303">
              <w:rPr>
                <w:rFonts w:asciiTheme="minorHAnsi" w:eastAsia="Times New Roman" w:hAnsiTheme="minorHAnsi" w:cstheme="minorHAnsi"/>
                <w:lang w:bidi="en-US"/>
              </w:rPr>
              <w:t xml:space="preserve"> No</w:t>
            </w:r>
            <w:r w:rsidR="003508A7">
              <w:rPr>
                <w:rFonts w:asciiTheme="minorHAnsi" w:eastAsia="Times New Roman" w:hAnsiTheme="minorHAnsi" w:cstheme="minorHAnsi"/>
                <w:lang w:bidi="en-US"/>
              </w:rPr>
              <w:t xml:space="preserve"> </w:t>
            </w:r>
          </w:p>
          <w:p w14:paraId="49E355BB" w14:textId="77777777" w:rsidR="00A5711B" w:rsidRDefault="00A5711B" w:rsidP="00A5711B">
            <w:pPr>
              <w:spacing w:before="7"/>
              <w:contextualSpacing/>
              <w:rPr>
                <w:rFonts w:asciiTheme="minorHAnsi" w:eastAsia="Times New Roman" w:hAnsiTheme="minorHAnsi" w:cstheme="minorHAnsi"/>
                <w:iCs/>
                <w:lang w:bidi="en-US"/>
              </w:rPr>
            </w:pPr>
          </w:p>
        </w:tc>
        <w:tc>
          <w:tcPr>
            <w:tcW w:w="1222" w:type="pct"/>
          </w:tcPr>
          <w:p w14:paraId="315CC066" w14:textId="1767C52C" w:rsidR="00165A51" w:rsidRDefault="00165A51" w:rsidP="00992C8D">
            <w:pPr>
              <w:spacing w:before="7"/>
              <w:contextualSpacing/>
              <w:rPr>
                <w:rFonts w:asciiTheme="minorHAnsi" w:eastAsia="Times New Roman" w:hAnsiTheme="minorHAnsi" w:cstheme="minorHAnsi"/>
                <w:bCs/>
                <w:lang w:bidi="en-US"/>
              </w:rPr>
            </w:pPr>
            <w:r>
              <w:rPr>
                <w:rFonts w:asciiTheme="minorHAnsi" w:eastAsia="Times New Roman" w:hAnsiTheme="minorHAnsi" w:cstheme="minorHAnsi"/>
                <w:bCs/>
                <w:lang w:bidi="en-US"/>
              </w:rPr>
              <w:t xml:space="preserve">If </w:t>
            </w:r>
            <w:r>
              <w:rPr>
                <w:rFonts w:asciiTheme="minorHAnsi" w:eastAsia="Times New Roman" w:hAnsiTheme="minorHAnsi" w:cstheme="minorHAnsi"/>
                <w:bCs/>
                <w:i/>
                <w:iCs/>
                <w:lang w:bidi="en-US"/>
              </w:rPr>
              <w:t xml:space="preserve">yes, </w:t>
            </w:r>
            <w:r w:rsidR="00421A36">
              <w:rPr>
                <w:rFonts w:asciiTheme="minorHAnsi" w:eastAsia="Times New Roman" w:hAnsiTheme="minorHAnsi" w:cstheme="minorHAnsi"/>
                <w:bCs/>
                <w:lang w:bidi="en-US"/>
              </w:rPr>
              <w:t xml:space="preserve">is the language provided in </w:t>
            </w:r>
            <w:r>
              <w:rPr>
                <w:rFonts w:asciiTheme="minorHAnsi" w:eastAsia="Times New Roman" w:hAnsiTheme="minorHAnsi" w:cstheme="minorHAnsi"/>
                <w:bCs/>
                <w:lang w:bidi="en-US"/>
              </w:rPr>
              <w:t xml:space="preserve">the notices </w:t>
            </w:r>
            <w:r w:rsidR="00332F9B">
              <w:rPr>
                <w:rFonts w:asciiTheme="minorHAnsi" w:eastAsia="Times New Roman" w:hAnsiTheme="minorHAnsi" w:cstheme="minorHAnsi"/>
                <w:bCs/>
                <w:lang w:bidi="en-US"/>
              </w:rPr>
              <w:t xml:space="preserve">and other messages </w:t>
            </w:r>
            <w:r>
              <w:rPr>
                <w:rFonts w:asciiTheme="minorHAnsi" w:eastAsia="Times New Roman" w:hAnsiTheme="minorHAnsi" w:cstheme="minorHAnsi"/>
                <w:bCs/>
                <w:lang w:bidi="en-US"/>
              </w:rPr>
              <w:t xml:space="preserve">still accurate? </w:t>
            </w:r>
            <w:r w:rsidR="00CB0951">
              <w:rPr>
                <w:rFonts w:asciiTheme="minorHAnsi" w:eastAsia="Times New Roman" w:hAnsiTheme="minorHAnsi" w:cstheme="minorHAnsi"/>
                <w:bCs/>
                <w:lang w:bidi="en-US"/>
              </w:rPr>
              <w:t xml:space="preserve"> </w:t>
            </w:r>
            <w:r w:rsidR="00630803">
              <w:rPr>
                <w:rFonts w:asciiTheme="minorHAnsi" w:eastAsia="Times New Roman" w:hAnsiTheme="minorHAnsi" w:cstheme="minorHAnsi"/>
                <w:bCs/>
                <w:lang w:bidi="en-US"/>
              </w:rPr>
              <w:t>When</w:t>
            </w:r>
            <w:r w:rsidR="00F35782">
              <w:rPr>
                <w:rFonts w:asciiTheme="minorHAnsi" w:eastAsia="Times New Roman" w:hAnsiTheme="minorHAnsi" w:cstheme="minorHAnsi"/>
                <w:bCs/>
                <w:lang w:bidi="en-US"/>
              </w:rPr>
              <w:t xml:space="preserve"> is the state planning to send </w:t>
            </w:r>
            <w:r w:rsidR="00630803">
              <w:rPr>
                <w:rFonts w:asciiTheme="minorHAnsi" w:eastAsia="Times New Roman" w:hAnsiTheme="minorHAnsi" w:cstheme="minorHAnsi"/>
                <w:bCs/>
                <w:lang w:bidi="en-US"/>
              </w:rPr>
              <w:t xml:space="preserve">additional </w:t>
            </w:r>
            <w:r w:rsidR="00332F9B">
              <w:rPr>
                <w:rFonts w:asciiTheme="minorHAnsi" w:eastAsia="Times New Roman" w:hAnsiTheme="minorHAnsi" w:cstheme="minorHAnsi"/>
                <w:bCs/>
                <w:lang w:bidi="en-US"/>
              </w:rPr>
              <w:t>communications</w:t>
            </w:r>
            <w:r>
              <w:rPr>
                <w:rFonts w:asciiTheme="minorHAnsi" w:eastAsia="Times New Roman" w:hAnsiTheme="minorHAnsi" w:cstheme="minorHAnsi"/>
                <w:bCs/>
                <w:lang w:bidi="en-US"/>
              </w:rPr>
              <w:t>?</w:t>
            </w:r>
            <w:r w:rsidR="00E73D99">
              <w:rPr>
                <w:rFonts w:asciiTheme="minorHAnsi" w:eastAsia="Times New Roman" w:hAnsiTheme="minorHAnsi" w:cstheme="minorHAnsi"/>
                <w:bCs/>
                <w:i/>
                <w:iCs/>
                <w:lang w:bidi="en-US"/>
              </w:rPr>
              <w:t xml:space="preserve"> </w:t>
            </w:r>
            <w:r w:rsidR="00CB0951">
              <w:rPr>
                <w:rFonts w:asciiTheme="minorHAnsi" w:eastAsia="Times New Roman" w:hAnsiTheme="minorHAnsi" w:cstheme="minorHAnsi"/>
                <w:bCs/>
                <w:i/>
                <w:iCs/>
                <w:lang w:bidi="en-US"/>
              </w:rPr>
              <w:t xml:space="preserve"> </w:t>
            </w:r>
            <w:r w:rsidR="00E67CEA">
              <w:rPr>
                <w:rFonts w:asciiTheme="minorHAnsi" w:eastAsia="Times New Roman" w:hAnsiTheme="minorHAnsi" w:cstheme="minorHAnsi"/>
                <w:bCs/>
                <w:lang w:bidi="en-US"/>
              </w:rPr>
              <w:t xml:space="preserve">What steps are being taken to ensure the messaging is reaching Medicaid </w:t>
            </w:r>
            <w:r w:rsidR="004E37D3">
              <w:rPr>
                <w:rFonts w:asciiTheme="minorHAnsi" w:eastAsia="Times New Roman" w:hAnsiTheme="minorHAnsi" w:cstheme="minorHAnsi"/>
                <w:bCs/>
                <w:lang w:bidi="en-US"/>
              </w:rPr>
              <w:t>enrollees</w:t>
            </w:r>
            <w:r w:rsidR="00E67CEA">
              <w:rPr>
                <w:rFonts w:asciiTheme="minorHAnsi" w:eastAsia="Times New Roman" w:hAnsiTheme="minorHAnsi" w:cstheme="minorHAnsi"/>
                <w:bCs/>
                <w:lang w:bidi="en-US"/>
              </w:rPr>
              <w:t xml:space="preserve"> who have limited English proficiency?</w:t>
            </w:r>
          </w:p>
          <w:p w14:paraId="4E4DDE3F" w14:textId="77777777" w:rsidR="00165A51" w:rsidRDefault="00165A51" w:rsidP="00992C8D">
            <w:pPr>
              <w:spacing w:before="7"/>
              <w:contextualSpacing/>
              <w:rPr>
                <w:rFonts w:asciiTheme="minorHAnsi" w:eastAsia="Times New Roman" w:hAnsiTheme="minorHAnsi" w:cstheme="minorHAnsi"/>
                <w:bCs/>
                <w:lang w:bidi="en-US"/>
              </w:rPr>
            </w:pPr>
          </w:p>
          <w:p w14:paraId="1C5404E2" w14:textId="0303F0B2" w:rsidR="00157857" w:rsidRPr="00F76FFB" w:rsidRDefault="00157857" w:rsidP="00992C8D">
            <w:pPr>
              <w:spacing w:before="7"/>
              <w:contextualSpacing/>
              <w:rPr>
                <w:rFonts w:asciiTheme="minorHAnsi" w:eastAsia="Times New Roman" w:hAnsiTheme="minorHAnsi" w:cstheme="minorHAnsi"/>
                <w:bCs/>
                <w:lang w:bidi="en-US"/>
              </w:rPr>
            </w:pPr>
            <w:r>
              <w:rPr>
                <w:rFonts w:asciiTheme="minorHAnsi" w:eastAsia="Times New Roman" w:hAnsiTheme="minorHAnsi" w:cstheme="minorHAnsi"/>
                <w:bCs/>
                <w:lang w:bidi="en-US"/>
              </w:rPr>
              <w:t xml:space="preserve">If </w:t>
            </w:r>
            <w:r>
              <w:rPr>
                <w:rFonts w:asciiTheme="minorHAnsi" w:eastAsia="Times New Roman" w:hAnsiTheme="minorHAnsi" w:cstheme="minorHAnsi"/>
                <w:bCs/>
                <w:i/>
                <w:iCs/>
                <w:lang w:bidi="en-US"/>
              </w:rPr>
              <w:t xml:space="preserve">no, </w:t>
            </w:r>
            <w:r w:rsidR="00AD4E20">
              <w:rPr>
                <w:rFonts w:asciiTheme="minorHAnsi" w:eastAsia="Times New Roman" w:hAnsiTheme="minorHAnsi" w:cstheme="minorHAnsi"/>
                <w:bCs/>
                <w:lang w:bidi="en-US"/>
              </w:rPr>
              <w:t>what are the state</w:t>
            </w:r>
            <w:r w:rsidR="005C2F28">
              <w:rPr>
                <w:rFonts w:asciiTheme="minorHAnsi" w:eastAsia="Times New Roman" w:hAnsiTheme="minorHAnsi" w:cstheme="minorHAnsi"/>
                <w:bCs/>
                <w:lang w:bidi="en-US"/>
              </w:rPr>
              <w:t>’</w:t>
            </w:r>
            <w:r w:rsidR="00AD4E20">
              <w:rPr>
                <w:rFonts w:asciiTheme="minorHAnsi" w:eastAsia="Times New Roman" w:hAnsiTheme="minorHAnsi" w:cstheme="minorHAnsi"/>
                <w:bCs/>
                <w:lang w:bidi="en-US"/>
              </w:rPr>
              <w:t>s plans</w:t>
            </w:r>
            <w:r w:rsidR="005879AE">
              <w:rPr>
                <w:rFonts w:asciiTheme="minorHAnsi" w:eastAsia="Times New Roman" w:hAnsiTheme="minorHAnsi" w:cstheme="minorHAnsi"/>
                <w:bCs/>
                <w:lang w:bidi="en-US"/>
              </w:rPr>
              <w:t xml:space="preserve"> for </w:t>
            </w:r>
            <w:r w:rsidR="006316EF">
              <w:rPr>
                <w:rFonts w:asciiTheme="minorHAnsi" w:eastAsia="Times New Roman" w:hAnsiTheme="minorHAnsi" w:cstheme="minorHAnsi"/>
                <w:bCs/>
                <w:lang w:bidi="en-US"/>
              </w:rPr>
              <w:t>outreach and messaging</w:t>
            </w:r>
            <w:r w:rsidR="005879AE">
              <w:rPr>
                <w:rFonts w:asciiTheme="minorHAnsi" w:eastAsia="Times New Roman" w:hAnsiTheme="minorHAnsi" w:cstheme="minorHAnsi"/>
                <w:bCs/>
                <w:lang w:bidi="en-US"/>
              </w:rPr>
              <w:t>?</w:t>
            </w:r>
            <w:r w:rsidR="00AD4E20">
              <w:rPr>
                <w:rFonts w:asciiTheme="minorHAnsi" w:eastAsia="Times New Roman" w:hAnsiTheme="minorHAnsi" w:cstheme="minorHAnsi"/>
                <w:bCs/>
                <w:lang w:bidi="en-US"/>
              </w:rPr>
              <w:t xml:space="preserve"> </w:t>
            </w:r>
            <w:r w:rsidR="00CB0951">
              <w:rPr>
                <w:rFonts w:asciiTheme="minorHAnsi" w:eastAsia="Times New Roman" w:hAnsiTheme="minorHAnsi" w:cstheme="minorHAnsi"/>
                <w:bCs/>
                <w:lang w:bidi="en-US"/>
              </w:rPr>
              <w:t xml:space="preserve"> </w:t>
            </w:r>
            <w:r w:rsidR="00AD4E20">
              <w:rPr>
                <w:rFonts w:asciiTheme="minorHAnsi" w:eastAsia="Times New Roman" w:hAnsiTheme="minorHAnsi" w:cstheme="minorHAnsi"/>
                <w:bCs/>
                <w:lang w:bidi="en-US"/>
              </w:rPr>
              <w:t>Which additional stakeholders, state agencies and other partners can be leveraged to support outreach efforts?</w:t>
            </w:r>
          </w:p>
        </w:tc>
      </w:tr>
      <w:tr w:rsidR="0088484C" w:rsidRPr="00842303" w14:paraId="410C93F5" w14:textId="77777777" w:rsidTr="6493D36F">
        <w:trPr>
          <w:cantSplit/>
          <w:trHeight w:val="50"/>
        </w:trPr>
        <w:tc>
          <w:tcPr>
            <w:tcW w:w="2421" w:type="pct"/>
          </w:tcPr>
          <w:p w14:paraId="29392581" w14:textId="5B41DB96" w:rsidR="0088484C" w:rsidRDefault="0088484C" w:rsidP="00DA2575">
            <w:pPr>
              <w:numPr>
                <w:ilvl w:val="0"/>
                <w:numId w:val="2"/>
              </w:numPr>
              <w:spacing w:before="7"/>
              <w:rPr>
                <w:rFonts w:asciiTheme="minorHAnsi" w:eastAsia="Times New Roman" w:hAnsiTheme="minorHAnsi" w:cstheme="minorHAnsi"/>
                <w:lang w:bidi="en-US"/>
              </w:rPr>
            </w:pPr>
            <w:r>
              <w:rPr>
                <w:rFonts w:asciiTheme="minorHAnsi" w:eastAsia="Times New Roman" w:hAnsiTheme="minorHAnsi" w:cstheme="minorHAnsi"/>
                <w:lang w:bidi="en-US"/>
              </w:rPr>
              <w:t xml:space="preserve">Did the state </w:t>
            </w:r>
            <w:r w:rsidR="00D537F5">
              <w:rPr>
                <w:rFonts w:asciiTheme="minorHAnsi" w:eastAsia="Times New Roman" w:hAnsiTheme="minorHAnsi" w:cstheme="minorHAnsi"/>
                <w:lang w:bidi="en-US"/>
              </w:rPr>
              <w:t xml:space="preserve">extend eligibility to additional </w:t>
            </w:r>
            <w:r>
              <w:rPr>
                <w:rFonts w:asciiTheme="minorHAnsi" w:eastAsia="Times New Roman" w:hAnsiTheme="minorHAnsi" w:cstheme="minorHAnsi"/>
                <w:lang w:bidi="en-US"/>
              </w:rPr>
              <w:t>temporary eligibility group</w:t>
            </w:r>
            <w:r w:rsidR="00100DB8">
              <w:rPr>
                <w:rFonts w:asciiTheme="minorHAnsi" w:eastAsia="Times New Roman" w:hAnsiTheme="minorHAnsi" w:cstheme="minorHAnsi"/>
                <w:lang w:bidi="en-US"/>
              </w:rPr>
              <w:t>s</w:t>
            </w:r>
            <w:r>
              <w:rPr>
                <w:rFonts w:asciiTheme="minorHAnsi" w:eastAsia="Times New Roman" w:hAnsiTheme="minorHAnsi" w:cstheme="minorHAnsi"/>
                <w:lang w:bidi="en-US"/>
              </w:rPr>
              <w:t xml:space="preserve"> </w:t>
            </w:r>
            <w:r w:rsidR="00D537F5">
              <w:rPr>
                <w:rFonts w:asciiTheme="minorHAnsi" w:eastAsia="Times New Roman" w:hAnsiTheme="minorHAnsi" w:cstheme="minorHAnsi"/>
                <w:lang w:bidi="en-US"/>
              </w:rPr>
              <w:t xml:space="preserve">and populations </w:t>
            </w:r>
            <w:r w:rsidR="00421A36">
              <w:rPr>
                <w:rFonts w:asciiTheme="minorHAnsi" w:eastAsia="Times New Roman" w:hAnsiTheme="minorHAnsi" w:cstheme="minorHAnsi"/>
                <w:lang w:bidi="en-US"/>
              </w:rPr>
              <w:t>in response to the PHE</w:t>
            </w:r>
            <w:r>
              <w:rPr>
                <w:rFonts w:asciiTheme="minorHAnsi" w:eastAsia="Times New Roman" w:hAnsiTheme="minorHAnsi" w:cstheme="minorHAnsi"/>
                <w:lang w:bidi="en-US"/>
              </w:rPr>
              <w:t>?</w:t>
            </w:r>
          </w:p>
        </w:tc>
        <w:tc>
          <w:tcPr>
            <w:tcW w:w="1357" w:type="pct"/>
          </w:tcPr>
          <w:p w14:paraId="106085C8" w14:textId="11B4C582" w:rsidR="0088484C" w:rsidRPr="00842303" w:rsidRDefault="004430F9" w:rsidP="0088484C">
            <w:pPr>
              <w:spacing w:before="7"/>
              <w:rPr>
                <w:rFonts w:asciiTheme="minorHAnsi" w:eastAsia="Times New Roman" w:hAnsiTheme="minorHAnsi" w:cstheme="minorHAnsi"/>
                <w:lang w:bidi="en-US"/>
              </w:rPr>
            </w:pPr>
            <w:sdt>
              <w:sdtPr>
                <w:rPr>
                  <w:rFonts w:asciiTheme="minorHAnsi" w:eastAsia="Times New Roman" w:hAnsiTheme="minorHAnsi" w:cstheme="minorHAnsi"/>
                  <w:lang w:bidi="en-US"/>
                </w:rPr>
                <w:id w:val="1897624258"/>
                <w14:checkbox>
                  <w14:checked w14:val="0"/>
                  <w14:checkedState w14:val="2612" w14:font="MS Gothic"/>
                  <w14:uncheckedState w14:val="2610" w14:font="MS Gothic"/>
                </w14:checkbox>
              </w:sdtPr>
              <w:sdtEndPr/>
              <w:sdtContent>
                <w:r w:rsidR="0088484C" w:rsidRPr="00842303">
                  <w:rPr>
                    <w:rFonts w:ascii="Segoe UI Symbol" w:eastAsia="Times New Roman" w:hAnsi="Segoe UI Symbol" w:cs="Segoe UI Symbol"/>
                    <w:lang w:bidi="en-US"/>
                  </w:rPr>
                  <w:t>☐</w:t>
                </w:r>
              </w:sdtContent>
            </w:sdt>
            <w:r w:rsidR="0088484C" w:rsidRPr="00842303">
              <w:rPr>
                <w:rFonts w:asciiTheme="minorHAnsi" w:eastAsia="Times New Roman" w:hAnsiTheme="minorHAnsi" w:cstheme="minorHAnsi"/>
                <w:lang w:bidi="en-US"/>
              </w:rPr>
              <w:t xml:space="preserve"> Yes</w:t>
            </w:r>
          </w:p>
          <w:p w14:paraId="61F8FACF" w14:textId="3691E103" w:rsidR="0088484C" w:rsidRDefault="004430F9" w:rsidP="00A5711B">
            <w:pPr>
              <w:spacing w:before="7"/>
              <w:contextualSpacing/>
              <w:rPr>
                <w:rFonts w:asciiTheme="minorHAnsi" w:eastAsia="Times New Roman" w:hAnsiTheme="minorHAnsi" w:cstheme="minorHAnsi"/>
                <w:lang w:bidi="en-US"/>
              </w:rPr>
            </w:pPr>
            <w:sdt>
              <w:sdtPr>
                <w:rPr>
                  <w:rFonts w:asciiTheme="minorHAnsi" w:eastAsia="Times New Roman" w:hAnsiTheme="minorHAnsi" w:cstheme="minorHAnsi"/>
                  <w:lang w:bidi="en-US"/>
                </w:rPr>
                <w:id w:val="-812630245"/>
                <w14:checkbox>
                  <w14:checked w14:val="0"/>
                  <w14:checkedState w14:val="2612" w14:font="MS Gothic"/>
                  <w14:uncheckedState w14:val="2610" w14:font="MS Gothic"/>
                </w14:checkbox>
              </w:sdtPr>
              <w:sdtEndPr/>
              <w:sdtContent>
                <w:r w:rsidR="0088484C" w:rsidRPr="00842303">
                  <w:rPr>
                    <w:rFonts w:ascii="Segoe UI Symbol" w:eastAsia="Times New Roman" w:hAnsi="Segoe UI Symbol" w:cs="Segoe UI Symbol"/>
                    <w:lang w:bidi="en-US"/>
                  </w:rPr>
                  <w:t>☐</w:t>
                </w:r>
              </w:sdtContent>
            </w:sdt>
            <w:r w:rsidR="0088484C" w:rsidRPr="00842303">
              <w:rPr>
                <w:rFonts w:asciiTheme="minorHAnsi" w:eastAsia="Times New Roman" w:hAnsiTheme="minorHAnsi" w:cstheme="minorHAnsi"/>
                <w:lang w:bidi="en-US"/>
              </w:rPr>
              <w:t xml:space="preserve"> No</w:t>
            </w:r>
            <w:r w:rsidR="0088484C">
              <w:rPr>
                <w:rFonts w:asciiTheme="minorHAnsi" w:eastAsia="Times New Roman" w:hAnsiTheme="minorHAnsi" w:cstheme="minorHAnsi"/>
                <w:lang w:bidi="en-US"/>
              </w:rPr>
              <w:t xml:space="preserve"> </w:t>
            </w:r>
          </w:p>
        </w:tc>
        <w:tc>
          <w:tcPr>
            <w:tcW w:w="1222" w:type="pct"/>
          </w:tcPr>
          <w:p w14:paraId="27BAB709" w14:textId="4935899F" w:rsidR="0088484C" w:rsidRPr="0088484C" w:rsidRDefault="0088484C" w:rsidP="00992C8D">
            <w:pPr>
              <w:spacing w:before="7"/>
              <w:contextualSpacing/>
              <w:rPr>
                <w:rFonts w:asciiTheme="minorHAnsi" w:eastAsia="Times New Roman" w:hAnsiTheme="minorHAnsi" w:cstheme="minorHAnsi"/>
                <w:bCs/>
                <w:lang w:bidi="en-US"/>
              </w:rPr>
            </w:pPr>
            <w:r>
              <w:rPr>
                <w:rFonts w:asciiTheme="minorHAnsi" w:eastAsia="Times New Roman" w:hAnsiTheme="minorHAnsi" w:cstheme="minorHAnsi"/>
                <w:bCs/>
                <w:lang w:bidi="en-US"/>
              </w:rPr>
              <w:t xml:space="preserve">If </w:t>
            </w:r>
            <w:r>
              <w:rPr>
                <w:rFonts w:asciiTheme="minorHAnsi" w:eastAsia="Times New Roman" w:hAnsiTheme="minorHAnsi" w:cstheme="minorHAnsi"/>
                <w:bCs/>
                <w:i/>
                <w:iCs/>
                <w:lang w:bidi="en-US"/>
              </w:rPr>
              <w:t>yes,</w:t>
            </w:r>
            <w:r>
              <w:rPr>
                <w:rFonts w:asciiTheme="minorHAnsi" w:eastAsia="Times New Roman" w:hAnsiTheme="minorHAnsi" w:cstheme="minorHAnsi"/>
                <w:bCs/>
                <w:lang w:bidi="en-US"/>
              </w:rPr>
              <w:t xml:space="preserve"> how is the state prioritizing these individuals for re-determination?</w:t>
            </w:r>
            <w:r w:rsidR="00E73D99">
              <w:rPr>
                <w:rFonts w:asciiTheme="minorHAnsi" w:eastAsia="Times New Roman" w:hAnsiTheme="minorHAnsi" w:cstheme="minorHAnsi"/>
                <w:bCs/>
                <w:lang w:bidi="en-US"/>
              </w:rPr>
              <w:t xml:space="preserve"> </w:t>
            </w:r>
            <w:r w:rsidR="00CB0951">
              <w:rPr>
                <w:rFonts w:asciiTheme="minorHAnsi" w:eastAsia="Times New Roman" w:hAnsiTheme="minorHAnsi" w:cstheme="minorHAnsi"/>
                <w:bCs/>
                <w:lang w:bidi="en-US"/>
              </w:rPr>
              <w:t xml:space="preserve"> </w:t>
            </w:r>
            <w:r w:rsidR="00AD4E20">
              <w:rPr>
                <w:rFonts w:asciiTheme="minorHAnsi" w:eastAsia="Times New Roman" w:hAnsiTheme="minorHAnsi" w:cstheme="minorHAnsi"/>
                <w:bCs/>
                <w:lang w:bidi="en-US"/>
              </w:rPr>
              <w:t>What plans are needed to ensure these populations are informed of any eligibility changes after the PHE ends and appropriately transitioned to other available coverage options?</w:t>
            </w:r>
          </w:p>
        </w:tc>
      </w:tr>
    </w:tbl>
    <w:p w14:paraId="1A9506FB" w14:textId="77777777" w:rsidR="00875985" w:rsidRDefault="00875985" w:rsidP="00875985">
      <w:pPr>
        <w:rPr>
          <w:rFonts w:asciiTheme="majorHAnsi" w:hAnsiTheme="majorHAnsi" w:cstheme="minorHAnsi"/>
          <w:b/>
          <w:bCs/>
          <w:color w:val="365F91" w:themeColor="accent1" w:themeShade="BF"/>
          <w:sz w:val="28"/>
          <w:szCs w:val="28"/>
        </w:rPr>
      </w:pPr>
    </w:p>
    <w:p w14:paraId="62399104" w14:textId="77777777" w:rsidR="00946CF5" w:rsidRDefault="00946CF5" w:rsidP="00DA2575">
      <w:pPr>
        <w:pStyle w:val="ListParagraph"/>
        <w:numPr>
          <w:ilvl w:val="0"/>
          <w:numId w:val="7"/>
        </w:numPr>
        <w:spacing w:after="240"/>
        <w:rPr>
          <w:rFonts w:asciiTheme="majorHAnsi" w:hAnsiTheme="majorHAnsi" w:cstheme="minorHAnsi"/>
          <w:b/>
          <w:bCs/>
          <w:i/>
          <w:iCs/>
          <w:color w:val="365F91" w:themeColor="accent1" w:themeShade="BF"/>
          <w:sz w:val="28"/>
          <w:szCs w:val="28"/>
        </w:rPr>
      </w:pPr>
      <w:r w:rsidRPr="00F42303">
        <w:rPr>
          <w:rFonts w:asciiTheme="majorHAnsi" w:hAnsiTheme="majorHAnsi" w:cstheme="minorHAnsi"/>
          <w:b/>
          <w:bCs/>
          <w:i/>
          <w:iCs/>
          <w:color w:val="365F91" w:themeColor="accent1" w:themeShade="BF"/>
          <w:sz w:val="28"/>
          <w:szCs w:val="28"/>
        </w:rPr>
        <w:lastRenderedPageBreak/>
        <w:t>Application Processing</w:t>
      </w:r>
    </w:p>
    <w:p w14:paraId="557D2B61" w14:textId="7764FE5D" w:rsidR="0059141A" w:rsidRDefault="0059141A" w:rsidP="00DD0FCF">
      <w:pPr>
        <w:ind w:left="360"/>
      </w:pPr>
      <w:r w:rsidRPr="0059141A">
        <w:rPr>
          <w:b/>
          <w:bCs/>
        </w:rPr>
        <w:t>Federal Requirements</w:t>
      </w:r>
      <w:r w:rsidR="00B321E0">
        <w:rPr>
          <w:b/>
          <w:bCs/>
        </w:rPr>
        <w:t>.</w:t>
      </w:r>
      <w:r w:rsidRPr="0059141A">
        <w:t xml:space="preserve"> 42 C.F.R. § 435.912 requires states to determine eligibility promptly and without undue delay, not to exceed the following maximum days for any given applicant: 90 days for applicants who apply for Medicaid on the basis of disability and 45 days for all other applicants.</w:t>
      </w:r>
      <w:r w:rsidR="00E73D99">
        <w:t xml:space="preserve"> </w:t>
      </w:r>
      <w:r w:rsidRPr="0059141A">
        <w:t>In accordance with 42 C.F.R. § 457.340, these requirements apply equally to applications for CHIP.</w:t>
      </w:r>
      <w:r w:rsidR="00E73D99">
        <w:t xml:space="preserve"> </w:t>
      </w:r>
      <w:r w:rsidR="00CB0951">
        <w:t xml:space="preserve"> </w:t>
      </w:r>
      <w:r w:rsidRPr="0059141A">
        <w:t>An application is considered to be processed timely when the agency enrolls an eligible applicant or denies coverage for an individual the agency could not determine as eligible within the application processing timeliness standards.</w:t>
      </w:r>
    </w:p>
    <w:tbl>
      <w:tblPr>
        <w:tblStyle w:val="TableGrid1"/>
        <w:tblpPr w:leftFromText="180" w:rightFromText="180" w:vertAnchor="text" w:horzAnchor="margin" w:tblpX="355" w:tblpY="425"/>
        <w:tblOverlap w:val="never"/>
        <w:tblW w:w="16915" w:type="dxa"/>
        <w:tblLook w:val="04A0" w:firstRow="1" w:lastRow="0" w:firstColumn="1" w:lastColumn="0" w:noHBand="0" w:noVBand="1"/>
      </w:tblPr>
      <w:tblGrid>
        <w:gridCol w:w="8185"/>
        <w:gridCol w:w="4590"/>
        <w:gridCol w:w="4140"/>
      </w:tblGrid>
      <w:tr w:rsidR="00241C52" w:rsidRPr="00842303" w14:paraId="4F565B8A" w14:textId="77777777" w:rsidTr="0074275D">
        <w:trPr>
          <w:cantSplit/>
          <w:trHeight w:val="347"/>
          <w:tblHeader/>
        </w:trPr>
        <w:tc>
          <w:tcPr>
            <w:tcW w:w="8185" w:type="dxa"/>
            <w:shd w:val="clear" w:color="auto" w:fill="0071BC"/>
            <w:vAlign w:val="center"/>
          </w:tcPr>
          <w:p w14:paraId="3DF61BC7" w14:textId="77777777" w:rsidR="00241C52" w:rsidRPr="0059141A" w:rsidRDefault="00241C52" w:rsidP="00F76FFB">
            <w:pPr>
              <w:spacing w:before="7"/>
              <w:ind w:left="360" w:hanging="360"/>
              <w:rPr>
                <w:rFonts w:asciiTheme="minorHAnsi" w:eastAsia="Times New Roman" w:hAnsiTheme="minorHAnsi" w:cstheme="minorHAnsi"/>
                <w:b/>
                <w:bCs/>
                <w:color w:val="FFFFFF" w:themeColor="background1"/>
                <w:lang w:bidi="en-US"/>
              </w:rPr>
            </w:pPr>
            <w:r w:rsidRPr="00FC3119">
              <w:rPr>
                <w:rFonts w:asciiTheme="minorHAnsi" w:eastAsia="Times New Roman" w:hAnsiTheme="minorHAnsi" w:cstheme="minorBidi"/>
                <w:b/>
                <w:bCs/>
                <w:color w:val="FFFFFF" w:themeColor="background1"/>
                <w:lang w:bidi="en-US"/>
              </w:rPr>
              <w:t>State Self-Assessment Questions</w:t>
            </w:r>
          </w:p>
        </w:tc>
        <w:tc>
          <w:tcPr>
            <w:tcW w:w="4590" w:type="dxa"/>
            <w:shd w:val="clear" w:color="auto" w:fill="0071BC"/>
            <w:vAlign w:val="center"/>
          </w:tcPr>
          <w:p w14:paraId="25947E95" w14:textId="77777777" w:rsidR="00241C52" w:rsidRPr="0059141A" w:rsidRDefault="00241C52" w:rsidP="00F76FFB">
            <w:pPr>
              <w:spacing w:before="7"/>
              <w:ind w:left="360" w:hanging="360"/>
              <w:rPr>
                <w:rFonts w:asciiTheme="minorHAnsi" w:eastAsia="Times New Roman" w:hAnsiTheme="minorHAnsi" w:cstheme="minorHAnsi"/>
                <w:b/>
                <w:bCs/>
                <w:color w:val="FFFFFF" w:themeColor="background1"/>
                <w:lang w:bidi="en-US"/>
              </w:rPr>
            </w:pPr>
            <w:r w:rsidRPr="00FC3119">
              <w:rPr>
                <w:rFonts w:asciiTheme="minorHAnsi" w:eastAsia="Times New Roman" w:hAnsiTheme="minorHAnsi" w:cstheme="minorBidi"/>
                <w:b/>
                <w:bCs/>
                <w:color w:val="FFFFFF" w:themeColor="background1"/>
                <w:lang w:bidi="en-US"/>
              </w:rPr>
              <w:t>State Response</w:t>
            </w:r>
          </w:p>
        </w:tc>
        <w:tc>
          <w:tcPr>
            <w:tcW w:w="4140" w:type="dxa"/>
            <w:shd w:val="clear" w:color="auto" w:fill="0071BC"/>
          </w:tcPr>
          <w:p w14:paraId="4CC8D313" w14:textId="77777777" w:rsidR="00241C52" w:rsidRPr="0059141A" w:rsidRDefault="00FE395C" w:rsidP="00F76FFB">
            <w:pPr>
              <w:spacing w:before="7"/>
              <w:ind w:left="360" w:hanging="360"/>
              <w:rPr>
                <w:rFonts w:asciiTheme="minorHAnsi" w:eastAsia="Times New Roman" w:hAnsiTheme="minorHAnsi" w:cstheme="minorHAnsi"/>
                <w:b/>
                <w:bCs/>
                <w:color w:val="FFFFFF" w:themeColor="background1"/>
                <w:lang w:bidi="en-US"/>
              </w:rPr>
            </w:pPr>
            <w:r w:rsidRPr="00FC3119">
              <w:rPr>
                <w:rFonts w:asciiTheme="minorHAnsi" w:eastAsia="Times New Roman" w:hAnsiTheme="minorHAnsi" w:cstheme="minorBidi"/>
                <w:b/>
                <w:bCs/>
                <w:color w:val="FFFFFF" w:themeColor="background1"/>
                <w:lang w:bidi="en-US"/>
              </w:rPr>
              <w:t>Considerations for State Planning</w:t>
            </w:r>
            <w:r w:rsidR="005F6888" w:rsidRPr="00FC3119">
              <w:rPr>
                <w:rFonts w:asciiTheme="minorHAnsi" w:eastAsia="Times New Roman" w:hAnsiTheme="minorHAnsi" w:cstheme="minorBidi"/>
                <w:b/>
                <w:bCs/>
                <w:color w:val="FFFFFF" w:themeColor="background1"/>
                <w:lang w:bidi="en-US"/>
              </w:rPr>
              <w:t xml:space="preserve"> Scope</w:t>
            </w:r>
          </w:p>
        </w:tc>
      </w:tr>
      <w:tr w:rsidR="00241C52" w:rsidRPr="00842303" w14:paraId="2CD51011" w14:textId="77777777" w:rsidTr="6493D36F">
        <w:trPr>
          <w:cantSplit/>
        </w:trPr>
        <w:tc>
          <w:tcPr>
            <w:tcW w:w="8185" w:type="dxa"/>
          </w:tcPr>
          <w:p w14:paraId="3F029C98" w14:textId="31B30103" w:rsidR="00241C52" w:rsidRPr="0074275D" w:rsidRDefault="00BA5E9D" w:rsidP="00DA2575">
            <w:pPr>
              <w:pStyle w:val="ListParagraph"/>
              <w:numPr>
                <w:ilvl w:val="0"/>
                <w:numId w:val="8"/>
              </w:numPr>
              <w:spacing w:before="7"/>
              <w:rPr>
                <w:rFonts w:asciiTheme="minorHAnsi" w:eastAsia="Times New Roman" w:hAnsiTheme="minorHAnsi" w:cstheme="minorBidi"/>
                <w:lang w:bidi="en-US"/>
              </w:rPr>
            </w:pPr>
            <w:bookmarkStart w:id="1" w:name="_Hlk83822341"/>
            <w:r w:rsidRPr="00FC3119">
              <w:rPr>
                <w:rFonts w:asciiTheme="minorHAnsi" w:eastAsia="Times New Roman" w:hAnsiTheme="minorHAnsi" w:cstheme="minorBidi"/>
                <w:lang w:bidi="en-US"/>
              </w:rPr>
              <w:t xml:space="preserve">Since the </w:t>
            </w:r>
            <w:r w:rsidR="00BF44BE">
              <w:rPr>
                <w:rFonts w:asciiTheme="minorHAnsi" w:eastAsia="Times New Roman" w:hAnsiTheme="minorHAnsi" w:cstheme="minorBidi"/>
                <w:lang w:bidi="en-US"/>
              </w:rPr>
              <w:t>continuous enrollment condition</w:t>
            </w:r>
            <w:r w:rsidRPr="00FC3119">
              <w:rPr>
                <w:rFonts w:asciiTheme="minorHAnsi" w:eastAsia="Times New Roman" w:hAnsiTheme="minorHAnsi" w:cstheme="minorBidi"/>
                <w:lang w:bidi="en-US"/>
              </w:rPr>
              <w:t xml:space="preserve"> has been in effect, h</w:t>
            </w:r>
            <w:r w:rsidR="00241C52" w:rsidRPr="00FC3119">
              <w:rPr>
                <w:rFonts w:asciiTheme="minorHAnsi" w:eastAsia="Times New Roman" w:hAnsiTheme="minorHAnsi" w:cstheme="minorBidi"/>
                <w:lang w:bidi="en-US"/>
              </w:rPr>
              <w:t xml:space="preserve">as the </w:t>
            </w:r>
            <w:proofErr w:type="gramStart"/>
            <w:r w:rsidR="00241C52" w:rsidRPr="003872D2">
              <w:rPr>
                <w:rFonts w:asciiTheme="minorHAnsi" w:eastAsia="Times New Roman" w:hAnsiTheme="minorHAnsi" w:cstheme="minorBidi"/>
                <w:lang w:bidi="en-US"/>
              </w:rPr>
              <w:t>state</w:t>
            </w:r>
            <w:r w:rsidR="00A44082" w:rsidRPr="003872D2">
              <w:rPr>
                <w:rFonts w:asciiTheme="minorHAnsi" w:eastAsia="Times New Roman" w:hAnsiTheme="minorHAnsi" w:cstheme="minorBidi"/>
                <w:lang w:bidi="en-US"/>
              </w:rPr>
              <w:t xml:space="preserve"> </w:t>
            </w:r>
            <w:r w:rsidR="00241C52" w:rsidRPr="003872D2">
              <w:rPr>
                <w:rFonts w:asciiTheme="minorHAnsi" w:eastAsia="Times New Roman" w:hAnsiTheme="minorHAnsi" w:cstheme="minorBidi"/>
                <w:lang w:bidi="en-US"/>
              </w:rPr>
              <w:t>maintained</w:t>
            </w:r>
            <w:proofErr w:type="gramEnd"/>
            <w:r w:rsidR="00241C52" w:rsidRPr="003872D2">
              <w:rPr>
                <w:rFonts w:asciiTheme="minorHAnsi" w:eastAsia="Times New Roman" w:hAnsiTheme="minorHAnsi" w:cstheme="minorBidi"/>
                <w:lang w:bidi="en-US"/>
              </w:rPr>
              <w:t xml:space="preserve"> application processing timeliness standards across all application types (MAGI applications, other non-disability-related applications, and disability-based applications)?</w:t>
            </w:r>
          </w:p>
        </w:tc>
        <w:tc>
          <w:tcPr>
            <w:tcW w:w="4590" w:type="dxa"/>
          </w:tcPr>
          <w:p w14:paraId="623E366D" w14:textId="77777777" w:rsidR="00241C52" w:rsidRPr="0059141A" w:rsidRDefault="004430F9" w:rsidP="00F76FFB">
            <w:pPr>
              <w:spacing w:before="7"/>
              <w:ind w:left="360" w:hanging="360"/>
              <w:rPr>
                <w:rFonts w:asciiTheme="minorHAnsi" w:eastAsia="Times New Roman" w:hAnsiTheme="minorHAnsi" w:cstheme="minorHAnsi"/>
                <w:lang w:bidi="en-US"/>
              </w:rPr>
            </w:pPr>
            <w:sdt>
              <w:sdtPr>
                <w:rPr>
                  <w:rFonts w:ascii="Segoe UI Symbol" w:eastAsia="Times New Roman" w:hAnsi="Segoe UI Symbol" w:cs="Segoe UI Symbol"/>
                  <w:lang w:bidi="en-US"/>
                </w:rPr>
                <w:id w:val="-107125079"/>
                <w14:checkbox>
                  <w14:checked w14:val="0"/>
                  <w14:checkedState w14:val="2612" w14:font="MS Gothic"/>
                  <w14:uncheckedState w14:val="2610" w14:font="MS Gothic"/>
                </w14:checkbox>
              </w:sdtPr>
              <w:sdtEndPr/>
              <w:sdtContent>
                <w:r w:rsidR="00241C52" w:rsidRPr="0059141A">
                  <w:rPr>
                    <w:rFonts w:ascii="Segoe UI Symbol" w:eastAsia="Times New Roman" w:hAnsi="Segoe UI Symbol" w:cs="Segoe UI Symbol"/>
                    <w:lang w:bidi="en-US"/>
                  </w:rPr>
                  <w:t>☐</w:t>
                </w:r>
              </w:sdtContent>
            </w:sdt>
            <w:r w:rsidR="00241C52" w:rsidRPr="0059141A">
              <w:rPr>
                <w:rFonts w:asciiTheme="minorHAnsi" w:eastAsia="Times New Roman" w:hAnsiTheme="minorHAnsi" w:cstheme="minorHAnsi"/>
                <w:lang w:bidi="en-US"/>
              </w:rPr>
              <w:t xml:space="preserve"> Yes </w:t>
            </w:r>
          </w:p>
          <w:p w14:paraId="07BAF12E" w14:textId="77777777" w:rsidR="00241C52" w:rsidRPr="0059141A" w:rsidRDefault="004430F9" w:rsidP="00F76FFB">
            <w:pPr>
              <w:spacing w:before="7"/>
              <w:ind w:left="360" w:hanging="360"/>
              <w:rPr>
                <w:rFonts w:asciiTheme="minorHAnsi" w:eastAsia="Times New Roman" w:hAnsiTheme="minorHAnsi" w:cstheme="minorHAnsi"/>
                <w:i/>
                <w:color w:val="595959" w:themeColor="text1" w:themeTint="A6"/>
                <w:lang w:bidi="en-US"/>
              </w:rPr>
            </w:pPr>
            <w:sdt>
              <w:sdtPr>
                <w:rPr>
                  <w:rFonts w:ascii="Segoe UI Symbol" w:eastAsia="Times New Roman" w:hAnsi="Segoe UI Symbol" w:cs="Segoe UI Symbol"/>
                  <w:lang w:bidi="en-US"/>
                </w:rPr>
                <w:id w:val="-1204940689"/>
                <w14:checkbox>
                  <w14:checked w14:val="0"/>
                  <w14:checkedState w14:val="2612" w14:font="MS Gothic"/>
                  <w14:uncheckedState w14:val="2610" w14:font="MS Gothic"/>
                </w14:checkbox>
              </w:sdtPr>
              <w:sdtEndPr/>
              <w:sdtContent>
                <w:r w:rsidR="00241C52" w:rsidRPr="0059141A">
                  <w:rPr>
                    <w:rFonts w:ascii="Segoe UI Symbol" w:eastAsia="Times New Roman" w:hAnsi="Segoe UI Symbol" w:cs="Segoe UI Symbol"/>
                    <w:lang w:bidi="en-US"/>
                  </w:rPr>
                  <w:t>☐</w:t>
                </w:r>
              </w:sdtContent>
            </w:sdt>
            <w:r w:rsidR="00241C52" w:rsidRPr="0059141A">
              <w:rPr>
                <w:rFonts w:asciiTheme="minorHAnsi" w:eastAsia="Times New Roman" w:hAnsiTheme="minorHAnsi" w:cstheme="minorHAnsi"/>
                <w:lang w:bidi="en-US"/>
              </w:rPr>
              <w:t xml:space="preserve"> No</w:t>
            </w:r>
          </w:p>
          <w:p w14:paraId="29C335AC" w14:textId="77777777" w:rsidR="00241C52" w:rsidRPr="00842303" w:rsidRDefault="00241C52" w:rsidP="00F76FFB">
            <w:pPr>
              <w:spacing w:before="7"/>
              <w:ind w:left="360" w:hanging="360"/>
              <w:rPr>
                <w:rFonts w:asciiTheme="minorHAnsi" w:eastAsia="Times New Roman" w:hAnsiTheme="minorHAnsi" w:cstheme="minorHAnsi"/>
                <w:lang w:bidi="en-US"/>
              </w:rPr>
            </w:pPr>
          </w:p>
        </w:tc>
        <w:tc>
          <w:tcPr>
            <w:tcW w:w="4140" w:type="dxa"/>
          </w:tcPr>
          <w:p w14:paraId="40EED7A8" w14:textId="20F0FB6F" w:rsidR="00165A51" w:rsidRDefault="00165A51" w:rsidP="000665F3">
            <w:pPr>
              <w:spacing w:before="7"/>
              <w:rPr>
                <w:rFonts w:asciiTheme="minorHAnsi" w:eastAsia="Times New Roman" w:hAnsiTheme="minorHAnsi" w:cstheme="minorHAnsi"/>
                <w:lang w:bidi="en-US"/>
              </w:rPr>
            </w:pPr>
            <w:r w:rsidRPr="000261DC">
              <w:rPr>
                <w:rFonts w:asciiTheme="minorHAnsi" w:eastAsia="Times New Roman" w:hAnsiTheme="minorHAnsi" w:cstheme="minorHAnsi"/>
                <w:lang w:bidi="en-US"/>
              </w:rPr>
              <w:t xml:space="preserve">If </w:t>
            </w:r>
            <w:r w:rsidRPr="000261DC">
              <w:rPr>
                <w:rFonts w:asciiTheme="minorHAnsi" w:eastAsia="Times New Roman" w:hAnsiTheme="minorHAnsi" w:cstheme="minorHAnsi"/>
                <w:i/>
                <w:iCs/>
                <w:lang w:bidi="en-US"/>
              </w:rPr>
              <w:t xml:space="preserve">yes, </w:t>
            </w:r>
            <w:r w:rsidR="00FB0D8F">
              <w:rPr>
                <w:rFonts w:asciiTheme="minorHAnsi" w:eastAsia="Times New Roman" w:hAnsiTheme="minorHAnsi" w:cstheme="minorHAnsi"/>
                <w:lang w:bidi="en-US"/>
              </w:rPr>
              <w:t xml:space="preserve">how will </w:t>
            </w:r>
            <w:r w:rsidR="00452CA7">
              <w:rPr>
                <w:rFonts w:asciiTheme="minorHAnsi" w:eastAsia="Times New Roman" w:hAnsiTheme="minorHAnsi" w:cstheme="minorHAnsi"/>
                <w:lang w:bidi="en-US"/>
              </w:rPr>
              <w:t>the state ensure that</w:t>
            </w:r>
            <w:r w:rsidRPr="000261DC">
              <w:rPr>
                <w:rFonts w:asciiTheme="minorHAnsi" w:eastAsia="Times New Roman" w:hAnsiTheme="minorHAnsi" w:cstheme="minorHAnsi"/>
                <w:lang w:bidi="en-US"/>
              </w:rPr>
              <w:t xml:space="preserve"> </w:t>
            </w:r>
            <w:r w:rsidR="00FB0D8F">
              <w:rPr>
                <w:rFonts w:asciiTheme="minorHAnsi" w:eastAsia="Times New Roman" w:hAnsiTheme="minorHAnsi" w:cstheme="minorHAnsi"/>
                <w:lang w:bidi="en-US"/>
              </w:rPr>
              <w:t>timely</w:t>
            </w:r>
            <w:r w:rsidRPr="000261DC">
              <w:rPr>
                <w:rFonts w:asciiTheme="minorHAnsi" w:eastAsia="Times New Roman" w:hAnsiTheme="minorHAnsi" w:cstheme="minorHAnsi"/>
                <w:lang w:bidi="en-US"/>
              </w:rPr>
              <w:t xml:space="preserve"> application processing </w:t>
            </w:r>
            <w:r w:rsidR="00452CA7">
              <w:rPr>
                <w:rFonts w:asciiTheme="minorHAnsi" w:eastAsia="Times New Roman" w:hAnsiTheme="minorHAnsi" w:cstheme="minorHAnsi"/>
                <w:lang w:bidi="en-US"/>
              </w:rPr>
              <w:t>is</w:t>
            </w:r>
            <w:r w:rsidR="00FB0D8F">
              <w:rPr>
                <w:rFonts w:asciiTheme="minorHAnsi" w:eastAsia="Times New Roman" w:hAnsiTheme="minorHAnsi" w:cstheme="minorHAnsi"/>
                <w:lang w:bidi="en-US"/>
              </w:rPr>
              <w:t xml:space="preserve"> maintained </w:t>
            </w:r>
            <w:r w:rsidR="00BA5E9D">
              <w:rPr>
                <w:rFonts w:asciiTheme="minorHAnsi" w:eastAsia="Times New Roman" w:hAnsiTheme="minorHAnsi" w:cstheme="minorHAnsi"/>
                <w:lang w:bidi="en-US"/>
              </w:rPr>
              <w:t>when</w:t>
            </w:r>
            <w:r w:rsidR="00FB0D8F">
              <w:rPr>
                <w:rFonts w:asciiTheme="minorHAnsi" w:eastAsia="Times New Roman" w:hAnsiTheme="minorHAnsi" w:cstheme="minorHAnsi"/>
                <w:lang w:bidi="en-US"/>
              </w:rPr>
              <w:t xml:space="preserve"> work resumes on renewals and other eligibility actions</w:t>
            </w:r>
            <w:r w:rsidRPr="000261DC">
              <w:rPr>
                <w:rFonts w:asciiTheme="minorHAnsi" w:eastAsia="Times New Roman" w:hAnsiTheme="minorHAnsi" w:cstheme="minorHAnsi"/>
                <w:lang w:bidi="en-US"/>
              </w:rPr>
              <w:t>?</w:t>
            </w:r>
          </w:p>
          <w:p w14:paraId="25D42F82" w14:textId="77777777" w:rsidR="00165A51" w:rsidRDefault="00165A51" w:rsidP="000665F3">
            <w:pPr>
              <w:spacing w:before="7"/>
              <w:rPr>
                <w:rFonts w:asciiTheme="minorHAnsi" w:eastAsia="Times New Roman" w:hAnsiTheme="minorHAnsi" w:cstheme="minorHAnsi"/>
                <w:lang w:bidi="en-US"/>
              </w:rPr>
            </w:pPr>
          </w:p>
          <w:p w14:paraId="582F6225" w14:textId="192FB0F4" w:rsidR="000665F3" w:rsidRPr="000665F3" w:rsidRDefault="000665F3" w:rsidP="00165A51">
            <w:pPr>
              <w:spacing w:before="7"/>
              <w:rPr>
                <w:rFonts w:ascii="Segoe UI Symbol" w:eastAsia="Times New Roman" w:hAnsi="Segoe UI Symbol" w:cs="Segoe UI Symbol"/>
                <w:lang w:bidi="en-US"/>
              </w:rPr>
            </w:pPr>
            <w:r w:rsidRPr="000261DC">
              <w:rPr>
                <w:rFonts w:asciiTheme="minorHAnsi" w:eastAsia="Times New Roman" w:hAnsiTheme="minorHAnsi" w:cstheme="minorHAnsi"/>
                <w:lang w:bidi="en-US"/>
              </w:rPr>
              <w:t xml:space="preserve">If </w:t>
            </w:r>
            <w:r w:rsidRPr="000261DC">
              <w:rPr>
                <w:rFonts w:asciiTheme="minorHAnsi" w:eastAsia="Times New Roman" w:hAnsiTheme="minorHAnsi" w:cstheme="minorHAnsi"/>
                <w:i/>
                <w:iCs/>
                <w:lang w:bidi="en-US"/>
              </w:rPr>
              <w:t>no</w:t>
            </w:r>
            <w:r w:rsidRPr="000261DC">
              <w:rPr>
                <w:rFonts w:asciiTheme="minorHAnsi" w:eastAsia="Times New Roman" w:hAnsiTheme="minorHAnsi" w:cstheme="minorHAnsi"/>
                <w:lang w:bidi="en-US"/>
              </w:rPr>
              <w:t xml:space="preserve">, </w:t>
            </w:r>
            <w:r w:rsidR="00402BDC">
              <w:rPr>
                <w:rFonts w:asciiTheme="minorHAnsi" w:eastAsia="Times New Roman" w:hAnsiTheme="minorHAnsi" w:cstheme="minorHAnsi"/>
                <w:lang w:bidi="en-US"/>
              </w:rPr>
              <w:t>what policy, operational or staffing changes are needed for the state to ensure that it can</w:t>
            </w:r>
            <w:r w:rsidR="00F4342F">
              <w:rPr>
                <w:rFonts w:asciiTheme="minorHAnsi" w:eastAsia="Times New Roman" w:hAnsiTheme="minorHAnsi" w:cstheme="minorHAnsi"/>
                <w:lang w:bidi="en-US"/>
              </w:rPr>
              <w:t xml:space="preserve"> complete pending applications and ensure continued timely </w:t>
            </w:r>
            <w:r w:rsidRPr="000261DC">
              <w:rPr>
                <w:rFonts w:asciiTheme="minorHAnsi" w:eastAsia="Times New Roman" w:hAnsiTheme="minorHAnsi" w:cstheme="minorHAnsi"/>
                <w:lang w:bidi="en-US"/>
              </w:rPr>
              <w:t xml:space="preserve">processing </w:t>
            </w:r>
            <w:r w:rsidR="00F4342F">
              <w:rPr>
                <w:rFonts w:asciiTheme="minorHAnsi" w:eastAsia="Times New Roman" w:hAnsiTheme="minorHAnsi" w:cstheme="minorHAnsi"/>
                <w:lang w:bidi="en-US"/>
              </w:rPr>
              <w:t xml:space="preserve">of </w:t>
            </w:r>
            <w:r w:rsidRPr="000261DC">
              <w:rPr>
                <w:rFonts w:asciiTheme="minorHAnsi" w:eastAsia="Times New Roman" w:hAnsiTheme="minorHAnsi" w:cstheme="minorHAnsi"/>
                <w:lang w:bidi="en-US"/>
              </w:rPr>
              <w:t>applications</w:t>
            </w:r>
            <w:r w:rsidR="00F4342F">
              <w:rPr>
                <w:rFonts w:asciiTheme="minorHAnsi" w:eastAsia="Times New Roman" w:hAnsiTheme="minorHAnsi" w:cstheme="minorHAnsi"/>
                <w:lang w:bidi="en-US"/>
              </w:rPr>
              <w:t xml:space="preserve"> during the unwinding period</w:t>
            </w:r>
            <w:r w:rsidRPr="000261DC">
              <w:rPr>
                <w:rFonts w:asciiTheme="minorHAnsi" w:eastAsia="Times New Roman" w:hAnsiTheme="minorHAnsi" w:cstheme="minorHAnsi"/>
                <w:lang w:bidi="en-US"/>
              </w:rPr>
              <w:t xml:space="preserve">? </w:t>
            </w:r>
          </w:p>
        </w:tc>
      </w:tr>
      <w:tr w:rsidR="00241C52" w:rsidRPr="00842303" w14:paraId="71D18F31" w14:textId="77777777" w:rsidTr="6493D36F">
        <w:trPr>
          <w:cantSplit/>
          <w:trHeight w:val="386"/>
        </w:trPr>
        <w:tc>
          <w:tcPr>
            <w:tcW w:w="8185" w:type="dxa"/>
          </w:tcPr>
          <w:p w14:paraId="04D621DD" w14:textId="77777777" w:rsidR="00A12D02" w:rsidRDefault="00241C52" w:rsidP="00DA2575">
            <w:pPr>
              <w:pStyle w:val="ListParagraph"/>
              <w:keepNext/>
              <w:keepLines/>
              <w:numPr>
                <w:ilvl w:val="0"/>
                <w:numId w:val="8"/>
              </w:numPr>
              <w:spacing w:before="7"/>
              <w:rPr>
                <w:rFonts w:asciiTheme="minorHAnsi" w:eastAsia="Times New Roman" w:hAnsiTheme="minorHAnsi" w:cstheme="minorHAnsi"/>
                <w:lang w:bidi="en-US"/>
              </w:rPr>
            </w:pPr>
            <w:r w:rsidRPr="0059141A">
              <w:rPr>
                <w:rFonts w:asciiTheme="minorHAnsi" w:eastAsia="Times New Roman" w:hAnsiTheme="minorHAnsi" w:cstheme="minorHAnsi"/>
                <w:lang w:bidi="en-US"/>
              </w:rPr>
              <w:t>If the state responded “no” to Q1</w:t>
            </w:r>
            <w:r w:rsidR="00AF4B13">
              <w:rPr>
                <w:rFonts w:asciiTheme="minorHAnsi" w:eastAsia="Times New Roman" w:hAnsiTheme="minorHAnsi" w:cstheme="minorHAnsi"/>
                <w:lang w:bidi="en-US"/>
              </w:rPr>
              <w:t>: How many</w:t>
            </w:r>
            <w:r w:rsidRPr="0059141A">
              <w:rPr>
                <w:rFonts w:asciiTheme="minorHAnsi" w:eastAsia="Times New Roman" w:hAnsiTheme="minorHAnsi" w:cstheme="minorHAnsi"/>
                <w:lang w:bidi="en-US"/>
              </w:rPr>
              <w:t xml:space="preserve"> applications are pending processing by application type</w:t>
            </w:r>
            <w:r w:rsidR="00A12D02">
              <w:rPr>
                <w:rFonts w:asciiTheme="minorHAnsi" w:eastAsia="Times New Roman" w:hAnsiTheme="minorHAnsi" w:cstheme="minorHAnsi"/>
                <w:lang w:bidi="en-US"/>
              </w:rPr>
              <w:t xml:space="preserve">? </w:t>
            </w:r>
          </w:p>
          <w:p w14:paraId="25DDCBEA" w14:textId="3B3A99E5" w:rsidR="00241C52" w:rsidRPr="0059141A" w:rsidRDefault="00241C52" w:rsidP="00A12D02">
            <w:pPr>
              <w:pStyle w:val="ListParagraph"/>
              <w:keepNext/>
              <w:keepLines/>
              <w:spacing w:before="7"/>
              <w:ind w:left="360"/>
              <w:rPr>
                <w:rFonts w:asciiTheme="minorHAnsi" w:eastAsia="Times New Roman" w:hAnsiTheme="minorHAnsi" w:cstheme="minorHAnsi"/>
                <w:lang w:bidi="en-US"/>
              </w:rPr>
            </w:pPr>
            <w:r w:rsidRPr="0059141A">
              <w:rPr>
                <w:rFonts w:asciiTheme="minorHAnsi" w:eastAsia="Times New Roman" w:hAnsiTheme="minorHAnsi" w:cstheme="minorHAnsi"/>
                <w:i/>
                <w:lang w:bidi="en-US"/>
              </w:rPr>
              <w:t xml:space="preserve">Note: This includes applications submitted during the </w:t>
            </w:r>
            <w:r w:rsidR="00896A66" w:rsidRPr="00896A66">
              <w:rPr>
                <w:rFonts w:asciiTheme="minorHAnsi" w:eastAsia="Times New Roman" w:hAnsiTheme="minorHAnsi" w:cstheme="minorHAnsi"/>
                <w:i/>
                <w:lang w:bidi="en-US"/>
              </w:rPr>
              <w:t xml:space="preserve">period of the </w:t>
            </w:r>
            <w:r w:rsidR="00BF44BE">
              <w:rPr>
                <w:rFonts w:asciiTheme="minorHAnsi" w:eastAsia="Times New Roman" w:hAnsiTheme="minorHAnsi" w:cstheme="minorHAnsi"/>
                <w:i/>
                <w:lang w:bidi="en-US"/>
              </w:rPr>
              <w:t>continuous enrollment condition</w:t>
            </w:r>
            <w:r w:rsidR="004B4D59">
              <w:rPr>
                <w:rFonts w:asciiTheme="minorHAnsi" w:eastAsia="Times New Roman" w:hAnsiTheme="minorHAnsi" w:cstheme="minorHAnsi"/>
                <w:i/>
                <w:lang w:bidi="en-US"/>
              </w:rPr>
              <w:t xml:space="preserve"> </w:t>
            </w:r>
            <w:r w:rsidRPr="0059141A">
              <w:rPr>
                <w:rFonts w:asciiTheme="minorHAnsi" w:eastAsia="Times New Roman" w:hAnsiTheme="minorHAnsi" w:cstheme="minorHAnsi"/>
                <w:i/>
                <w:lang w:bidi="en-US"/>
              </w:rPr>
              <w:t xml:space="preserve">that have not exceeded applicable timeliness standards for processing. </w:t>
            </w:r>
          </w:p>
        </w:tc>
        <w:tc>
          <w:tcPr>
            <w:tcW w:w="4590" w:type="dxa"/>
          </w:tcPr>
          <w:p w14:paraId="48E4A56D" w14:textId="77777777" w:rsidR="00241C52" w:rsidRPr="00A12D02" w:rsidRDefault="00241C52" w:rsidP="00F76FFB">
            <w:pPr>
              <w:keepNext/>
              <w:keepLines/>
              <w:spacing w:before="7"/>
              <w:rPr>
                <w:rFonts w:asciiTheme="minorHAnsi" w:eastAsia="Times New Roman" w:hAnsiTheme="minorHAnsi" w:cstheme="minorHAnsi"/>
                <w:bCs/>
                <w:i/>
                <w:iCs/>
                <w:lang w:bidi="en-US"/>
              </w:rPr>
            </w:pPr>
            <w:r w:rsidRPr="00A12D02">
              <w:rPr>
                <w:rFonts w:asciiTheme="minorHAnsi" w:eastAsia="Times New Roman" w:hAnsiTheme="minorHAnsi" w:cstheme="minorHAnsi"/>
                <w:bCs/>
                <w:i/>
                <w:iCs/>
                <w:lang w:bidi="en-US"/>
              </w:rPr>
              <w:t>Enter the amount for each application type that the state has pending</w:t>
            </w:r>
          </w:p>
          <w:p w14:paraId="06AB2323" w14:textId="77777777" w:rsidR="00241C52" w:rsidRPr="0059141A" w:rsidRDefault="00241C52" w:rsidP="00F76FFB">
            <w:pPr>
              <w:keepNext/>
              <w:keepLines/>
              <w:spacing w:before="7"/>
              <w:rPr>
                <w:rFonts w:asciiTheme="minorHAnsi" w:eastAsia="Times New Roman" w:hAnsiTheme="minorHAnsi" w:cstheme="minorHAnsi"/>
                <w:bCs/>
                <w:iCs/>
                <w:color w:val="7F7F7F" w:themeColor="text1" w:themeTint="80"/>
                <w:lang w:bidi="en-US"/>
              </w:rPr>
            </w:pPr>
          </w:p>
          <w:p w14:paraId="6E6FB5B3" w14:textId="77777777" w:rsidR="00241C52" w:rsidRPr="0059141A" w:rsidRDefault="00241C52" w:rsidP="00F76FFB">
            <w:pPr>
              <w:keepNext/>
              <w:keepLines/>
              <w:spacing w:before="7"/>
              <w:ind w:left="360" w:hanging="360"/>
              <w:rPr>
                <w:rFonts w:asciiTheme="minorHAnsi" w:eastAsia="Times New Roman" w:hAnsiTheme="minorHAnsi" w:cstheme="minorHAnsi"/>
                <w:iCs/>
                <w:lang w:bidi="en-US"/>
              </w:rPr>
            </w:pPr>
            <w:r w:rsidRPr="0059141A">
              <w:rPr>
                <w:rFonts w:asciiTheme="minorHAnsi" w:eastAsia="Times New Roman" w:hAnsiTheme="minorHAnsi" w:cstheme="minorHAnsi"/>
                <w:b/>
                <w:bCs/>
                <w:iCs/>
                <w:lang w:bidi="en-US"/>
              </w:rPr>
              <w:t xml:space="preserve">MAGI Applications: </w:t>
            </w:r>
            <w:r w:rsidRPr="00E52058">
              <w:rPr>
                <w:rFonts w:asciiTheme="minorHAnsi" w:eastAsia="Times New Roman" w:hAnsiTheme="minorHAnsi" w:cstheme="minorHAnsi"/>
                <w:iCs/>
                <w:color w:val="4F81BD" w:themeColor="accent1"/>
                <w:lang w:bidi="en-US"/>
              </w:rPr>
              <w:t>[Enter number]</w:t>
            </w:r>
          </w:p>
          <w:p w14:paraId="4E9A98E0" w14:textId="77777777" w:rsidR="00241C52" w:rsidRPr="0073341A" w:rsidRDefault="00241C52" w:rsidP="00F76FFB">
            <w:pPr>
              <w:keepNext/>
              <w:keepLines/>
              <w:spacing w:before="7"/>
              <w:ind w:left="360" w:hanging="360"/>
              <w:rPr>
                <w:rFonts w:asciiTheme="minorHAnsi" w:eastAsia="Times New Roman" w:hAnsiTheme="minorHAnsi" w:cstheme="minorHAnsi"/>
                <w:iCs/>
                <w:color w:val="7F7F7F" w:themeColor="text1" w:themeTint="80"/>
                <w:lang w:bidi="en-US"/>
              </w:rPr>
            </w:pPr>
          </w:p>
          <w:p w14:paraId="1BE7A52A" w14:textId="77777777" w:rsidR="00241C52" w:rsidRPr="00E52058" w:rsidRDefault="00241C52" w:rsidP="00A12D02">
            <w:pPr>
              <w:keepNext/>
              <w:keepLines/>
              <w:spacing w:before="7"/>
              <w:rPr>
                <w:rFonts w:asciiTheme="minorHAnsi" w:eastAsia="Times New Roman" w:hAnsiTheme="minorHAnsi" w:cstheme="minorHAnsi"/>
                <w:iCs/>
                <w:color w:val="4F81BD" w:themeColor="accent1"/>
                <w:lang w:bidi="en-US"/>
              </w:rPr>
            </w:pPr>
            <w:r w:rsidRPr="0059141A">
              <w:rPr>
                <w:rFonts w:asciiTheme="minorHAnsi" w:eastAsia="Times New Roman" w:hAnsiTheme="minorHAnsi" w:cstheme="minorHAnsi"/>
                <w:b/>
                <w:bCs/>
                <w:iCs/>
                <w:lang w:bidi="en-US"/>
              </w:rPr>
              <w:t>Other Non-Disability Applications</w:t>
            </w:r>
            <w:r w:rsidRPr="0059141A">
              <w:rPr>
                <w:rFonts w:asciiTheme="minorHAnsi" w:eastAsia="Times New Roman" w:hAnsiTheme="minorHAnsi" w:cstheme="minorHAnsi"/>
                <w:iCs/>
                <w:lang w:bidi="en-US"/>
              </w:rPr>
              <w:t xml:space="preserve">: </w:t>
            </w:r>
            <w:r w:rsidRPr="00E52058">
              <w:rPr>
                <w:rFonts w:asciiTheme="minorHAnsi" w:eastAsia="Times New Roman" w:hAnsiTheme="minorHAnsi" w:cstheme="minorHAnsi"/>
                <w:iCs/>
                <w:color w:val="4F81BD" w:themeColor="accent1"/>
                <w:lang w:bidi="en-US"/>
              </w:rPr>
              <w:t>[Enter number]</w:t>
            </w:r>
          </w:p>
          <w:p w14:paraId="20B8034B" w14:textId="77777777" w:rsidR="00241C52" w:rsidRPr="0073341A" w:rsidRDefault="00241C52" w:rsidP="00F76FFB">
            <w:pPr>
              <w:keepNext/>
              <w:keepLines/>
              <w:spacing w:before="7"/>
              <w:ind w:left="360" w:hanging="360"/>
              <w:rPr>
                <w:rFonts w:asciiTheme="minorHAnsi" w:eastAsia="Times New Roman" w:hAnsiTheme="minorHAnsi" w:cstheme="minorHAnsi"/>
                <w:iCs/>
                <w:lang w:bidi="en-US"/>
              </w:rPr>
            </w:pPr>
          </w:p>
          <w:p w14:paraId="7180FA4C" w14:textId="77777777" w:rsidR="00241C52" w:rsidRDefault="00241C52" w:rsidP="00F76FFB">
            <w:pPr>
              <w:keepNext/>
              <w:keepLines/>
              <w:spacing w:before="7"/>
              <w:ind w:left="360" w:hanging="360"/>
              <w:rPr>
                <w:rFonts w:asciiTheme="minorHAnsi" w:eastAsia="Times New Roman" w:hAnsiTheme="minorHAnsi" w:cstheme="minorHAnsi"/>
                <w:iCs/>
                <w:color w:val="4F81BD" w:themeColor="accent1"/>
                <w:lang w:bidi="en-US"/>
              </w:rPr>
            </w:pPr>
            <w:r w:rsidRPr="0059141A">
              <w:rPr>
                <w:rFonts w:asciiTheme="minorHAnsi" w:eastAsia="Times New Roman" w:hAnsiTheme="minorHAnsi" w:cstheme="minorHAnsi"/>
                <w:b/>
                <w:bCs/>
                <w:iCs/>
                <w:lang w:bidi="en-US"/>
              </w:rPr>
              <w:t>Disability-Based Applications:</w:t>
            </w:r>
            <w:r w:rsidRPr="00E52058">
              <w:rPr>
                <w:rFonts w:asciiTheme="minorHAnsi" w:eastAsia="Times New Roman" w:hAnsiTheme="minorHAnsi" w:cstheme="minorHAnsi"/>
                <w:b/>
                <w:bCs/>
                <w:iCs/>
                <w:color w:val="4F81BD" w:themeColor="accent1"/>
                <w:lang w:bidi="en-US"/>
              </w:rPr>
              <w:t xml:space="preserve"> </w:t>
            </w:r>
            <w:r w:rsidRPr="00E52058">
              <w:rPr>
                <w:rFonts w:asciiTheme="minorHAnsi" w:eastAsia="Times New Roman" w:hAnsiTheme="minorHAnsi" w:cstheme="minorHAnsi"/>
                <w:iCs/>
                <w:color w:val="4F81BD" w:themeColor="accent1"/>
                <w:lang w:bidi="en-US"/>
              </w:rPr>
              <w:t>[Enter number]</w:t>
            </w:r>
          </w:p>
          <w:p w14:paraId="4E630F37" w14:textId="0780C136" w:rsidR="000A06F1" w:rsidRPr="0059141A" w:rsidRDefault="000A06F1" w:rsidP="00F76FFB">
            <w:pPr>
              <w:keepNext/>
              <w:keepLines/>
              <w:spacing w:before="7"/>
              <w:ind w:left="360" w:hanging="360"/>
              <w:rPr>
                <w:rFonts w:asciiTheme="minorHAnsi" w:eastAsia="Times New Roman" w:hAnsiTheme="minorHAnsi" w:cstheme="minorHAnsi"/>
                <w:iCs/>
                <w:lang w:bidi="en-US"/>
              </w:rPr>
            </w:pPr>
          </w:p>
        </w:tc>
        <w:tc>
          <w:tcPr>
            <w:tcW w:w="4140" w:type="dxa"/>
          </w:tcPr>
          <w:p w14:paraId="494B88F2" w14:textId="787F3203" w:rsidR="00241C52" w:rsidRPr="00F76FFB" w:rsidRDefault="00E119C7" w:rsidP="00F76FFB">
            <w:pPr>
              <w:keepNext/>
              <w:keepLines/>
              <w:spacing w:before="7"/>
              <w:rPr>
                <w:rFonts w:asciiTheme="minorHAnsi" w:eastAsia="Times New Roman" w:hAnsiTheme="minorHAnsi" w:cstheme="minorHAnsi"/>
                <w:bCs/>
                <w:lang w:bidi="en-US"/>
              </w:rPr>
            </w:pPr>
            <w:r>
              <w:rPr>
                <w:rFonts w:asciiTheme="minorHAnsi" w:eastAsia="Times New Roman" w:hAnsiTheme="minorHAnsi" w:cstheme="minorHAnsi"/>
                <w:bCs/>
                <w:lang w:bidi="en-US"/>
              </w:rPr>
              <w:t>How is the state staging these applications for processing?</w:t>
            </w:r>
            <w:r w:rsidR="00E73D99">
              <w:rPr>
                <w:rFonts w:asciiTheme="minorHAnsi" w:eastAsia="Times New Roman" w:hAnsiTheme="minorHAnsi" w:cstheme="minorHAnsi"/>
                <w:bCs/>
                <w:lang w:bidi="en-US"/>
              </w:rPr>
              <w:t xml:space="preserve"> </w:t>
            </w:r>
            <w:r w:rsidR="00CB0951">
              <w:rPr>
                <w:rFonts w:asciiTheme="minorHAnsi" w:eastAsia="Times New Roman" w:hAnsiTheme="minorHAnsi" w:cstheme="minorHAnsi"/>
                <w:bCs/>
                <w:lang w:bidi="en-US"/>
              </w:rPr>
              <w:t xml:space="preserve"> </w:t>
            </w:r>
            <w:r w:rsidR="00402BDC">
              <w:rPr>
                <w:rFonts w:asciiTheme="minorHAnsi" w:eastAsia="Times New Roman" w:hAnsiTheme="minorHAnsi" w:cstheme="minorHAnsi"/>
                <w:bCs/>
                <w:lang w:bidi="en-US"/>
              </w:rPr>
              <w:t>What additional policy, operational or staffing changes are needed to ensure the state can address this backlog to minimize overall caseload volume and increase timely processing rates?</w:t>
            </w:r>
          </w:p>
        </w:tc>
      </w:tr>
      <w:bookmarkEnd w:id="1"/>
    </w:tbl>
    <w:p w14:paraId="0F6F3E7E" w14:textId="77777777" w:rsidR="00C66B1E" w:rsidRDefault="00C66B1E" w:rsidP="00C66B1E">
      <w:pPr>
        <w:pStyle w:val="ListParagraph"/>
        <w:spacing w:after="240"/>
        <w:rPr>
          <w:rFonts w:asciiTheme="majorHAnsi" w:hAnsiTheme="majorHAnsi" w:cstheme="minorHAnsi"/>
          <w:b/>
          <w:bCs/>
          <w:i/>
          <w:iCs/>
          <w:color w:val="365F91" w:themeColor="accent1" w:themeShade="BF"/>
          <w:sz w:val="28"/>
          <w:szCs w:val="28"/>
        </w:rPr>
      </w:pPr>
    </w:p>
    <w:p w14:paraId="7AF46C42" w14:textId="77777777" w:rsidR="00AF3E19" w:rsidRDefault="00AF3E19" w:rsidP="00766C4D">
      <w:pPr>
        <w:pStyle w:val="ListParagraph"/>
        <w:spacing w:after="240"/>
        <w:rPr>
          <w:rFonts w:asciiTheme="majorHAnsi" w:hAnsiTheme="majorHAnsi" w:cstheme="minorHAnsi"/>
          <w:b/>
          <w:bCs/>
          <w:i/>
          <w:iCs/>
          <w:color w:val="365F91" w:themeColor="accent1" w:themeShade="BF"/>
          <w:sz w:val="28"/>
          <w:szCs w:val="28"/>
        </w:rPr>
      </w:pPr>
    </w:p>
    <w:p w14:paraId="39BD2CA2" w14:textId="38B77990" w:rsidR="00C66B1E" w:rsidRDefault="00C66B1E" w:rsidP="00DA2575">
      <w:pPr>
        <w:pStyle w:val="ListParagraph"/>
        <w:numPr>
          <w:ilvl w:val="0"/>
          <w:numId w:val="7"/>
        </w:numPr>
        <w:spacing w:after="240"/>
        <w:rPr>
          <w:rFonts w:asciiTheme="majorHAnsi" w:hAnsiTheme="majorHAnsi" w:cstheme="minorHAnsi"/>
          <w:b/>
          <w:bCs/>
          <w:i/>
          <w:iCs/>
          <w:color w:val="365F91" w:themeColor="accent1" w:themeShade="BF"/>
          <w:sz w:val="28"/>
          <w:szCs w:val="28"/>
        </w:rPr>
      </w:pPr>
      <w:r>
        <w:rPr>
          <w:rFonts w:asciiTheme="majorHAnsi" w:hAnsiTheme="majorHAnsi" w:cstheme="minorHAnsi"/>
          <w:b/>
          <w:bCs/>
          <w:i/>
          <w:iCs/>
          <w:color w:val="365F91" w:themeColor="accent1" w:themeShade="BF"/>
          <w:sz w:val="28"/>
          <w:szCs w:val="28"/>
        </w:rPr>
        <w:t>Medicaid Fair Hearings</w:t>
      </w:r>
    </w:p>
    <w:p w14:paraId="296619EC" w14:textId="77777777" w:rsidR="00C66B1E" w:rsidRDefault="00C66B1E" w:rsidP="00C66B1E">
      <w:pPr>
        <w:ind w:left="360"/>
        <w:jc w:val="both"/>
      </w:pPr>
      <w:r w:rsidRPr="0070459E">
        <w:rPr>
          <w:b/>
          <w:bCs/>
        </w:rPr>
        <w:t>Federal Requirements.</w:t>
      </w:r>
      <w:r w:rsidRPr="0070459E">
        <w:t xml:space="preserve"> Generally, states are required to take final administrative action on a fair hearing request within 90 days of receipt of the request (42 C.F.R. § 431.244(f)(1)), while states must take final administrative action on expedited fair hearings “as expeditiously as possible” (42 C.F.R. § 431.244(f)(3)).</w:t>
      </w:r>
    </w:p>
    <w:p w14:paraId="4CFD28C2" w14:textId="77777777" w:rsidR="00C66B1E" w:rsidRDefault="00C66B1E" w:rsidP="00C66B1E">
      <w:pPr>
        <w:ind w:left="360"/>
        <w:jc w:val="both"/>
      </w:pPr>
    </w:p>
    <w:tbl>
      <w:tblPr>
        <w:tblStyle w:val="TableGrid"/>
        <w:tblW w:w="4897" w:type="pct"/>
        <w:tblInd w:w="355" w:type="dxa"/>
        <w:tblLook w:val="04A0" w:firstRow="1" w:lastRow="0" w:firstColumn="1" w:lastColumn="0" w:noHBand="0" w:noVBand="1"/>
      </w:tblPr>
      <w:tblGrid>
        <w:gridCol w:w="8190"/>
        <w:gridCol w:w="4590"/>
        <w:gridCol w:w="4134"/>
      </w:tblGrid>
      <w:tr w:rsidR="00C66B1E" w:rsidRPr="0070459E" w14:paraId="287CD555" w14:textId="77777777" w:rsidTr="0074275D">
        <w:trPr>
          <w:cantSplit/>
          <w:trHeight w:val="323"/>
          <w:tblHeader/>
        </w:trPr>
        <w:tc>
          <w:tcPr>
            <w:tcW w:w="2421" w:type="pct"/>
            <w:shd w:val="clear" w:color="auto" w:fill="0071BC"/>
            <w:vAlign w:val="center"/>
          </w:tcPr>
          <w:p w14:paraId="271172E5" w14:textId="77777777" w:rsidR="00C66B1E" w:rsidRPr="00C66B1E" w:rsidRDefault="00C66B1E" w:rsidP="00C66B1E">
            <w:pPr>
              <w:widowControl w:val="0"/>
              <w:autoSpaceDE w:val="0"/>
              <w:autoSpaceDN w:val="0"/>
              <w:spacing w:before="7"/>
              <w:ind w:left="360" w:hanging="360"/>
              <w:rPr>
                <w:rFonts w:asciiTheme="minorHAnsi" w:eastAsia="Times New Roman" w:hAnsiTheme="minorHAnsi" w:cstheme="minorHAnsi"/>
                <w:b/>
                <w:bCs/>
                <w:color w:val="FFFFFF" w:themeColor="background1"/>
                <w:lang w:bidi="en-US"/>
              </w:rPr>
            </w:pPr>
            <w:r w:rsidRPr="003872D2">
              <w:rPr>
                <w:rFonts w:asciiTheme="minorHAnsi" w:eastAsia="Times New Roman" w:hAnsiTheme="minorHAnsi" w:cstheme="minorBidi"/>
                <w:b/>
                <w:bCs/>
                <w:color w:val="FFFFFF" w:themeColor="background1"/>
                <w:lang w:bidi="en-US"/>
              </w:rPr>
              <w:t>State Self-Assessment Questions</w:t>
            </w:r>
          </w:p>
        </w:tc>
        <w:tc>
          <w:tcPr>
            <w:tcW w:w="1357" w:type="pct"/>
            <w:shd w:val="clear" w:color="auto" w:fill="0071BC"/>
            <w:vAlign w:val="center"/>
          </w:tcPr>
          <w:p w14:paraId="63717B8E" w14:textId="77777777" w:rsidR="00C66B1E" w:rsidRPr="00C66B1E" w:rsidRDefault="00C66B1E" w:rsidP="00C66B1E">
            <w:pPr>
              <w:widowControl w:val="0"/>
              <w:autoSpaceDE w:val="0"/>
              <w:autoSpaceDN w:val="0"/>
              <w:spacing w:before="7"/>
              <w:ind w:left="360" w:hanging="360"/>
              <w:rPr>
                <w:rFonts w:asciiTheme="minorHAnsi" w:eastAsia="Times New Roman" w:hAnsiTheme="minorHAnsi" w:cstheme="minorHAnsi"/>
                <w:b/>
                <w:bCs/>
                <w:color w:val="FFFFFF" w:themeColor="background1"/>
                <w:lang w:bidi="en-US"/>
              </w:rPr>
            </w:pPr>
            <w:r w:rsidRPr="003872D2">
              <w:rPr>
                <w:rFonts w:asciiTheme="minorHAnsi" w:eastAsia="Times New Roman" w:hAnsiTheme="minorHAnsi" w:cstheme="minorBidi"/>
                <w:b/>
                <w:bCs/>
                <w:color w:val="FFFFFF" w:themeColor="background1"/>
                <w:lang w:bidi="en-US"/>
              </w:rPr>
              <w:t>State Response</w:t>
            </w:r>
          </w:p>
        </w:tc>
        <w:tc>
          <w:tcPr>
            <w:tcW w:w="1222" w:type="pct"/>
            <w:shd w:val="clear" w:color="auto" w:fill="0071BC"/>
          </w:tcPr>
          <w:p w14:paraId="139DD18D" w14:textId="77777777" w:rsidR="00C66B1E" w:rsidRPr="00C66B1E" w:rsidRDefault="008C4B53" w:rsidP="00C66B1E">
            <w:pPr>
              <w:widowControl w:val="0"/>
              <w:autoSpaceDE w:val="0"/>
              <w:autoSpaceDN w:val="0"/>
              <w:spacing w:before="7"/>
              <w:ind w:left="360" w:hanging="360"/>
              <w:rPr>
                <w:rFonts w:asciiTheme="minorHAnsi" w:eastAsia="Times New Roman" w:hAnsiTheme="minorHAnsi" w:cstheme="minorHAnsi"/>
                <w:b/>
                <w:bCs/>
                <w:color w:val="FFFFFF" w:themeColor="background1"/>
                <w:lang w:bidi="en-US"/>
              </w:rPr>
            </w:pPr>
            <w:r w:rsidRPr="003872D2">
              <w:rPr>
                <w:rFonts w:asciiTheme="minorHAnsi" w:eastAsia="Times New Roman" w:hAnsiTheme="minorHAnsi" w:cstheme="minorBidi"/>
                <w:b/>
                <w:bCs/>
                <w:color w:val="FFFFFF" w:themeColor="background1"/>
                <w:lang w:bidi="en-US"/>
              </w:rPr>
              <w:t>Considerations for State Planning</w:t>
            </w:r>
            <w:r w:rsidR="005404BB" w:rsidRPr="003872D2">
              <w:rPr>
                <w:rFonts w:asciiTheme="minorHAnsi" w:eastAsia="Times New Roman" w:hAnsiTheme="minorHAnsi" w:cstheme="minorBidi"/>
                <w:b/>
                <w:bCs/>
                <w:color w:val="FFFFFF" w:themeColor="background1"/>
                <w:lang w:bidi="en-US"/>
              </w:rPr>
              <w:t xml:space="preserve"> Scope</w:t>
            </w:r>
          </w:p>
        </w:tc>
      </w:tr>
      <w:tr w:rsidR="00C66B1E" w:rsidRPr="0070459E" w14:paraId="2A6D3536" w14:textId="77777777" w:rsidTr="6493D36F">
        <w:trPr>
          <w:cantSplit/>
        </w:trPr>
        <w:tc>
          <w:tcPr>
            <w:tcW w:w="2421" w:type="pct"/>
          </w:tcPr>
          <w:p w14:paraId="5810DFD1" w14:textId="3B2BBE75" w:rsidR="00C66B1E" w:rsidRPr="0070459E" w:rsidRDefault="00BA5E9D" w:rsidP="00DA2575">
            <w:pPr>
              <w:pStyle w:val="BodyText"/>
              <w:numPr>
                <w:ilvl w:val="0"/>
                <w:numId w:val="12"/>
              </w:numPr>
              <w:autoSpaceDE w:val="0"/>
              <w:autoSpaceDN w:val="0"/>
              <w:spacing w:after="0"/>
            </w:pPr>
            <w:r>
              <w:t>Since</w:t>
            </w:r>
            <w:r w:rsidR="00C66B1E" w:rsidRPr="0070459E">
              <w:t xml:space="preserve"> the </w:t>
            </w:r>
            <w:r w:rsidR="00BF44BE">
              <w:t>continuous enrollment condition</w:t>
            </w:r>
            <w:r>
              <w:t xml:space="preserve"> has been in effect, d</w:t>
            </w:r>
            <w:r w:rsidRPr="0070459E">
              <w:t>oes the state have</w:t>
            </w:r>
            <w:r>
              <w:t xml:space="preserve"> any</w:t>
            </w:r>
            <w:r w:rsidRPr="0070459E">
              <w:t xml:space="preserve"> fair hearing requests</w:t>
            </w:r>
            <w:r>
              <w:t xml:space="preserve"> </w:t>
            </w:r>
            <w:r w:rsidR="00AF4B13">
              <w:t>that were</w:t>
            </w:r>
            <w:r w:rsidR="00C66B1E" w:rsidRPr="0070459E">
              <w:t xml:space="preserve"> received </w:t>
            </w:r>
            <w:r w:rsidR="001E5FB0">
              <w:t xml:space="preserve">more than </w:t>
            </w:r>
            <w:r w:rsidR="00C66B1E" w:rsidRPr="0070459E">
              <w:t>90 days ago for which the state has not taken final administrative action?</w:t>
            </w:r>
          </w:p>
        </w:tc>
        <w:tc>
          <w:tcPr>
            <w:tcW w:w="1357" w:type="pct"/>
          </w:tcPr>
          <w:p w14:paraId="1A6728C6" w14:textId="027897AB" w:rsidR="00C66B1E" w:rsidRPr="0070459E" w:rsidRDefault="004430F9" w:rsidP="00C66B1E">
            <w:pPr>
              <w:pStyle w:val="BodyText"/>
              <w:spacing w:after="0"/>
              <w:ind w:hanging="14"/>
            </w:pPr>
            <w:sdt>
              <w:sdtPr>
                <w:id w:val="-1199307633"/>
                <w14:checkbox>
                  <w14:checked w14:val="0"/>
                  <w14:checkedState w14:val="2612" w14:font="MS Gothic"/>
                  <w14:uncheckedState w14:val="2610" w14:font="MS Gothic"/>
                </w14:checkbox>
              </w:sdtPr>
              <w:sdtEndPr/>
              <w:sdtContent>
                <w:r w:rsidR="00C66B1E" w:rsidRPr="0070459E">
                  <w:rPr>
                    <w:rFonts w:ascii="MS Gothic" w:eastAsia="MS Gothic" w:hAnsi="MS Gothic" w:hint="eastAsia"/>
                  </w:rPr>
                  <w:t>☐</w:t>
                </w:r>
              </w:sdtContent>
            </w:sdt>
            <w:r w:rsidR="00C66B1E" w:rsidRPr="0070459E">
              <w:t xml:space="preserve"> Yes</w:t>
            </w:r>
            <w:r w:rsidR="008C4B53">
              <w:t xml:space="preserve"> </w:t>
            </w:r>
          </w:p>
          <w:p w14:paraId="0293F13A" w14:textId="7AB3299F" w:rsidR="00C66B1E" w:rsidRPr="008C4B53" w:rsidRDefault="004430F9" w:rsidP="00C66B1E">
            <w:pPr>
              <w:pStyle w:val="BodyText"/>
              <w:spacing w:after="0"/>
              <w:ind w:hanging="14"/>
              <w:rPr>
                <w:i/>
                <w:color w:val="7F7F7F" w:themeColor="text1" w:themeTint="80"/>
              </w:rPr>
            </w:pPr>
            <w:sdt>
              <w:sdtPr>
                <w:rPr>
                  <w:iCs/>
                </w:rPr>
                <w:id w:val="477417441"/>
                <w14:checkbox>
                  <w14:checked w14:val="0"/>
                  <w14:checkedState w14:val="2612" w14:font="MS Gothic"/>
                  <w14:uncheckedState w14:val="2610" w14:font="MS Gothic"/>
                </w14:checkbox>
              </w:sdtPr>
              <w:sdtEndPr/>
              <w:sdtContent>
                <w:r w:rsidR="00C66B1E" w:rsidRPr="0070459E">
                  <w:rPr>
                    <w:rFonts w:ascii="MS Gothic" w:eastAsia="MS Gothic" w:hAnsi="MS Gothic" w:hint="eastAsia"/>
                    <w:iCs/>
                  </w:rPr>
                  <w:t>☐</w:t>
                </w:r>
              </w:sdtContent>
            </w:sdt>
            <w:r w:rsidR="00C66B1E" w:rsidRPr="0070459E">
              <w:rPr>
                <w:iCs/>
              </w:rPr>
              <w:t xml:space="preserve"> No </w:t>
            </w:r>
            <w:r w:rsidR="008C4B53">
              <w:rPr>
                <w:i/>
              </w:rPr>
              <w:t>(skip to Q3)</w:t>
            </w:r>
          </w:p>
        </w:tc>
        <w:tc>
          <w:tcPr>
            <w:tcW w:w="1222" w:type="pct"/>
          </w:tcPr>
          <w:p w14:paraId="0099E184" w14:textId="42AEA396" w:rsidR="00C66B1E" w:rsidRPr="00E33E98" w:rsidRDefault="00E33E98" w:rsidP="00E33E98">
            <w:pPr>
              <w:pStyle w:val="BodyText"/>
              <w:ind w:firstLine="0"/>
            </w:pPr>
            <w:r>
              <w:t xml:space="preserve">If </w:t>
            </w:r>
            <w:r>
              <w:rPr>
                <w:i/>
                <w:iCs/>
              </w:rPr>
              <w:t>yes,</w:t>
            </w:r>
            <w:r>
              <w:t xml:space="preserve"> </w:t>
            </w:r>
            <w:r w:rsidR="001E5FB0">
              <w:t xml:space="preserve">what steps </w:t>
            </w:r>
            <w:r>
              <w:t xml:space="preserve">is the state planning to </w:t>
            </w:r>
            <w:r w:rsidR="001E5FB0">
              <w:t xml:space="preserve">ensure it can </w:t>
            </w:r>
            <w:r>
              <w:t>conduct fair hearings</w:t>
            </w:r>
            <w:r w:rsidR="001E5FB0">
              <w:t xml:space="preserve"> on </w:t>
            </w:r>
            <w:r w:rsidR="00E73D99">
              <w:t>a timely</w:t>
            </w:r>
            <w:r w:rsidR="001E5FB0">
              <w:t xml:space="preserve"> basis</w:t>
            </w:r>
            <w:r>
              <w:t>?</w:t>
            </w:r>
            <w:r w:rsidR="00E73D99">
              <w:t xml:space="preserve"> </w:t>
            </w:r>
            <w:r w:rsidR="00CB0951">
              <w:t xml:space="preserve"> </w:t>
            </w:r>
            <w:r w:rsidR="001E5FB0">
              <w:t>Are there changes that could increase the state</w:t>
            </w:r>
            <w:r w:rsidR="004A0CBD">
              <w:t>’</w:t>
            </w:r>
            <w:r w:rsidR="001E5FB0">
              <w:t>s capacity for timely</w:t>
            </w:r>
            <w:r w:rsidR="004A0CBD">
              <w:t xml:space="preserve"> processing</w:t>
            </w:r>
            <w:r w:rsidR="001E5FB0">
              <w:t>, including procedure</w:t>
            </w:r>
            <w:r w:rsidR="004A0CBD">
              <w:t xml:space="preserve"> update</w:t>
            </w:r>
            <w:r w:rsidR="001E5FB0">
              <w:t xml:space="preserve">s, staffing, </w:t>
            </w:r>
            <w:r w:rsidR="004A0CBD">
              <w:t>fair hearing venue,</w:t>
            </w:r>
            <w:r w:rsidR="001E5FB0">
              <w:t xml:space="preserve"> and involvement of Medicaid agency staff in pre-</w:t>
            </w:r>
            <w:r w:rsidR="004A0CBD">
              <w:t>fair hea</w:t>
            </w:r>
            <w:r w:rsidR="00AD4728">
              <w:t>r</w:t>
            </w:r>
            <w:r w:rsidR="004A0CBD">
              <w:t>ing</w:t>
            </w:r>
            <w:r w:rsidR="001E5FB0">
              <w:t xml:space="preserve"> work?</w:t>
            </w:r>
          </w:p>
        </w:tc>
      </w:tr>
      <w:tr w:rsidR="00C66B1E" w:rsidRPr="0070459E" w14:paraId="26A11F52" w14:textId="77777777" w:rsidTr="6493D36F">
        <w:trPr>
          <w:cantSplit/>
        </w:trPr>
        <w:tc>
          <w:tcPr>
            <w:tcW w:w="2421" w:type="pct"/>
          </w:tcPr>
          <w:p w14:paraId="3A9F2231" w14:textId="3575BFB6" w:rsidR="00C66B1E" w:rsidRPr="0070459E" w:rsidRDefault="00C66B1E" w:rsidP="00DA2575">
            <w:pPr>
              <w:pStyle w:val="ListParagraph"/>
              <w:numPr>
                <w:ilvl w:val="0"/>
                <w:numId w:val="12"/>
              </w:numPr>
            </w:pPr>
            <w:r w:rsidRPr="0070459E">
              <w:t>If the state answered “yes” to Q</w:t>
            </w:r>
            <w:r>
              <w:t>1</w:t>
            </w:r>
            <w:r w:rsidR="00AF4B13">
              <w:t xml:space="preserve">: How many </w:t>
            </w:r>
            <w:r w:rsidR="00BA3F86">
              <w:t xml:space="preserve">fair hearing requests </w:t>
            </w:r>
            <w:r w:rsidR="00340023">
              <w:t>were</w:t>
            </w:r>
            <w:r w:rsidR="006B0E14">
              <w:t xml:space="preserve"> received</w:t>
            </w:r>
            <w:r w:rsidR="001E5FB0">
              <w:t xml:space="preserve"> more than</w:t>
            </w:r>
            <w:r w:rsidR="006B0E14">
              <w:t xml:space="preserve"> 90 days ago</w:t>
            </w:r>
            <w:r w:rsidR="00340023">
              <w:t>,</w:t>
            </w:r>
            <w:r w:rsidR="006B0E14">
              <w:t xml:space="preserve"> and</w:t>
            </w:r>
            <w:r w:rsidR="00CB38C6">
              <w:t>,</w:t>
            </w:r>
            <w:r w:rsidR="006B0E14">
              <w:t xml:space="preserve"> </w:t>
            </w:r>
            <w:r w:rsidR="00340023">
              <w:t xml:space="preserve">of </w:t>
            </w:r>
            <w:r w:rsidR="006B0E14">
              <w:t>those</w:t>
            </w:r>
            <w:r w:rsidR="00340023">
              <w:t>, how many were</w:t>
            </w:r>
            <w:r w:rsidR="006B0E14">
              <w:t xml:space="preserve"> expedite</w:t>
            </w:r>
            <w:r w:rsidR="00DC396A">
              <w:t>d</w:t>
            </w:r>
            <w:r w:rsidR="00340023" w:rsidDel="00432E48">
              <w:t xml:space="preserve"> </w:t>
            </w:r>
            <w:r w:rsidR="00AF5A8B">
              <w:t>the fair hearing</w:t>
            </w:r>
            <w:r w:rsidR="00340023" w:rsidDel="00432E48">
              <w:t xml:space="preserve"> </w:t>
            </w:r>
            <w:r w:rsidR="00DC396A">
              <w:t>requests</w:t>
            </w:r>
            <w:r w:rsidR="00340023">
              <w:t>?</w:t>
            </w:r>
          </w:p>
        </w:tc>
        <w:tc>
          <w:tcPr>
            <w:tcW w:w="1357" w:type="pct"/>
          </w:tcPr>
          <w:p w14:paraId="05EF86BC" w14:textId="77777777" w:rsidR="00A12D02" w:rsidRPr="00A12D02" w:rsidRDefault="00A12D02" w:rsidP="00A12D02">
            <w:pPr>
              <w:keepNext/>
              <w:keepLines/>
              <w:spacing w:before="7"/>
              <w:rPr>
                <w:rFonts w:asciiTheme="minorHAnsi" w:eastAsia="Times New Roman" w:hAnsiTheme="minorHAnsi" w:cstheme="minorHAnsi"/>
                <w:bCs/>
                <w:i/>
                <w:iCs/>
                <w:lang w:bidi="en-US"/>
              </w:rPr>
            </w:pPr>
            <w:r w:rsidRPr="00A12D02">
              <w:rPr>
                <w:rFonts w:asciiTheme="minorHAnsi" w:eastAsia="Times New Roman" w:hAnsiTheme="minorHAnsi" w:cstheme="minorHAnsi"/>
                <w:bCs/>
                <w:i/>
                <w:iCs/>
                <w:lang w:bidi="en-US"/>
              </w:rPr>
              <w:t xml:space="preserve">Enter the amount </w:t>
            </w:r>
            <w:r>
              <w:rPr>
                <w:rFonts w:asciiTheme="minorHAnsi" w:eastAsia="Times New Roman" w:hAnsiTheme="minorHAnsi" w:cstheme="minorHAnsi"/>
                <w:bCs/>
                <w:i/>
                <w:iCs/>
                <w:lang w:bidi="en-US"/>
              </w:rPr>
              <w:t>of fair hearing requests</w:t>
            </w:r>
            <w:r w:rsidRPr="00A12D02">
              <w:rPr>
                <w:rFonts w:asciiTheme="minorHAnsi" w:eastAsia="Times New Roman" w:hAnsiTheme="minorHAnsi" w:cstheme="minorHAnsi"/>
                <w:bCs/>
                <w:i/>
                <w:iCs/>
                <w:lang w:bidi="en-US"/>
              </w:rPr>
              <w:t xml:space="preserve"> that the state has pending</w:t>
            </w:r>
            <w:r>
              <w:rPr>
                <w:rFonts w:asciiTheme="minorHAnsi" w:eastAsia="Times New Roman" w:hAnsiTheme="minorHAnsi" w:cstheme="minorHAnsi"/>
                <w:bCs/>
                <w:i/>
                <w:iCs/>
                <w:lang w:bidi="en-US"/>
              </w:rPr>
              <w:t xml:space="preserve"> for 90 days or more</w:t>
            </w:r>
          </w:p>
          <w:p w14:paraId="51109CAF" w14:textId="77777777" w:rsidR="00A12D02" w:rsidRDefault="00A12D02" w:rsidP="00BA3F86">
            <w:pPr>
              <w:spacing w:before="7"/>
              <w:rPr>
                <w:rFonts w:asciiTheme="minorHAnsi" w:eastAsia="Times New Roman" w:hAnsiTheme="minorHAnsi" w:cstheme="minorHAnsi"/>
                <w:lang w:bidi="en-US"/>
              </w:rPr>
            </w:pPr>
          </w:p>
          <w:p w14:paraId="0557BCDF" w14:textId="77777777" w:rsidR="00B36240" w:rsidRDefault="00BA3F86" w:rsidP="00BA3F86">
            <w:pPr>
              <w:spacing w:before="7"/>
              <w:rPr>
                <w:rFonts w:asciiTheme="minorHAnsi" w:eastAsia="Times New Roman" w:hAnsiTheme="minorHAnsi" w:cstheme="minorHAnsi"/>
                <w:color w:val="4F81BD" w:themeColor="accent1"/>
                <w:lang w:bidi="en-US"/>
              </w:rPr>
            </w:pPr>
            <w:r>
              <w:rPr>
                <w:rFonts w:asciiTheme="minorHAnsi" w:eastAsia="Times New Roman" w:hAnsiTheme="minorHAnsi" w:cstheme="minorHAnsi"/>
                <w:lang w:bidi="en-US"/>
              </w:rPr>
              <w:t>Fair hearing requests &gt; 90 days</w:t>
            </w:r>
            <w:r w:rsidRPr="00BA3F86">
              <w:rPr>
                <w:rFonts w:asciiTheme="minorHAnsi" w:eastAsia="Times New Roman" w:hAnsiTheme="minorHAnsi" w:cstheme="minorHAnsi"/>
                <w:lang w:bidi="en-US"/>
              </w:rPr>
              <w:t>:</w:t>
            </w:r>
            <w:r>
              <w:rPr>
                <w:rFonts w:asciiTheme="minorHAnsi" w:eastAsia="Times New Roman" w:hAnsiTheme="minorHAnsi" w:cstheme="minorHAnsi"/>
                <w:i/>
                <w:iCs/>
                <w:lang w:bidi="en-US"/>
              </w:rPr>
              <w:t xml:space="preserve"> </w:t>
            </w:r>
            <w:r w:rsidRPr="007F0439">
              <w:rPr>
                <w:rFonts w:asciiTheme="minorHAnsi" w:eastAsia="Times New Roman" w:hAnsiTheme="minorHAnsi" w:cstheme="minorHAnsi"/>
                <w:color w:val="4F81BD" w:themeColor="accent1"/>
                <w:lang w:bidi="en-US"/>
              </w:rPr>
              <w:t>[Enter number]</w:t>
            </w:r>
          </w:p>
          <w:p w14:paraId="11F55B94" w14:textId="77777777" w:rsidR="00BA3F86" w:rsidRDefault="00BA3F86" w:rsidP="00BA3F86">
            <w:pPr>
              <w:spacing w:before="7"/>
              <w:rPr>
                <w:rFonts w:asciiTheme="minorHAnsi" w:eastAsia="Times New Roman" w:hAnsiTheme="minorHAnsi" w:cstheme="minorHAnsi"/>
                <w:i/>
                <w:iCs/>
                <w:lang w:bidi="en-US"/>
              </w:rPr>
            </w:pPr>
            <w:r w:rsidRPr="007F0439">
              <w:rPr>
                <w:rFonts w:asciiTheme="minorHAnsi" w:eastAsia="Times New Roman" w:hAnsiTheme="minorHAnsi" w:cstheme="minorHAnsi"/>
                <w:i/>
                <w:iCs/>
                <w:color w:val="4F81BD" w:themeColor="accent1"/>
                <w:lang w:bidi="en-US"/>
              </w:rPr>
              <w:t xml:space="preserve"> </w:t>
            </w:r>
          </w:p>
          <w:p w14:paraId="0CC708D2" w14:textId="77777777" w:rsidR="00BA3F86" w:rsidRDefault="00FD33D4" w:rsidP="00BA3F86">
            <w:pPr>
              <w:spacing w:before="7"/>
              <w:rPr>
                <w:rFonts w:asciiTheme="minorHAnsi" w:eastAsia="Times New Roman" w:hAnsiTheme="minorHAnsi" w:cstheme="minorHAnsi"/>
                <w:color w:val="4F81BD" w:themeColor="accent1"/>
                <w:lang w:bidi="en-US"/>
              </w:rPr>
            </w:pPr>
            <w:r>
              <w:rPr>
                <w:rFonts w:asciiTheme="minorHAnsi" w:eastAsia="Times New Roman" w:hAnsiTheme="minorHAnsi" w:cstheme="minorHAnsi"/>
                <w:lang w:bidi="en-US"/>
              </w:rPr>
              <w:t>Of fair hearing requests &gt; 90 days, requests to e</w:t>
            </w:r>
            <w:r w:rsidR="00BA3F86">
              <w:rPr>
                <w:rFonts w:asciiTheme="minorHAnsi" w:eastAsia="Times New Roman" w:hAnsiTheme="minorHAnsi" w:cstheme="minorHAnsi"/>
                <w:lang w:bidi="en-US"/>
              </w:rPr>
              <w:t xml:space="preserve">xpedite: </w:t>
            </w:r>
            <w:r w:rsidR="00BA3F86" w:rsidRPr="007F0439">
              <w:rPr>
                <w:rFonts w:asciiTheme="minorHAnsi" w:eastAsia="Times New Roman" w:hAnsiTheme="minorHAnsi" w:cstheme="minorHAnsi"/>
                <w:color w:val="4F81BD" w:themeColor="accent1"/>
                <w:lang w:bidi="en-US"/>
              </w:rPr>
              <w:t>[Enter number]</w:t>
            </w:r>
          </w:p>
          <w:p w14:paraId="4AAA21C7" w14:textId="77777777" w:rsidR="00C66B1E" w:rsidRPr="0070459E" w:rsidRDefault="00C66B1E" w:rsidP="00C66B1E">
            <w:pPr>
              <w:pStyle w:val="BodyText"/>
              <w:spacing w:after="0"/>
              <w:ind w:firstLine="0"/>
              <w:rPr>
                <w:iCs/>
              </w:rPr>
            </w:pPr>
          </w:p>
        </w:tc>
        <w:tc>
          <w:tcPr>
            <w:tcW w:w="1222" w:type="pct"/>
          </w:tcPr>
          <w:p w14:paraId="7BDE9FB0" w14:textId="1DC39C73" w:rsidR="00C66B1E" w:rsidRDefault="00CB38C6" w:rsidP="00E33E98">
            <w:pPr>
              <w:pStyle w:val="BodyText"/>
              <w:ind w:firstLine="0"/>
            </w:pPr>
            <w:r>
              <w:t>Is the</w:t>
            </w:r>
            <w:r w:rsidR="00E33E98">
              <w:t xml:space="preserve"> state planning </w:t>
            </w:r>
            <w:r>
              <w:t xml:space="preserve">to </w:t>
            </w:r>
            <w:r w:rsidR="00E33E98">
              <w:t>prioritiz</w:t>
            </w:r>
            <w:r>
              <w:t>e</w:t>
            </w:r>
            <w:r w:rsidR="00E33E98">
              <w:t xml:space="preserve"> resolution</w:t>
            </w:r>
            <w:r>
              <w:t xml:space="preserve"> of pending fair hearing requests</w:t>
            </w:r>
            <w:r w:rsidR="004A0CBD">
              <w:t>, for example, based on</w:t>
            </w:r>
            <w:r w:rsidR="00E33E98">
              <w:t xml:space="preserve">: </w:t>
            </w:r>
            <w:r w:rsidR="004A0CBD">
              <w:t>the</w:t>
            </w:r>
            <w:r w:rsidR="00E33E98">
              <w:t xml:space="preserve"> length of time </w:t>
            </w:r>
            <w:r w:rsidR="004A0CBD">
              <w:t xml:space="preserve">a </w:t>
            </w:r>
            <w:r w:rsidR="00E33E98">
              <w:t xml:space="preserve">hearing </w:t>
            </w:r>
            <w:r w:rsidR="004A0CBD">
              <w:t>request</w:t>
            </w:r>
            <w:r w:rsidR="00E33E98">
              <w:t xml:space="preserve"> or final administrati</w:t>
            </w:r>
            <w:r w:rsidR="004A0CBD">
              <w:t>ve acti</w:t>
            </w:r>
            <w:r w:rsidR="00E33E98">
              <w:t xml:space="preserve">on </w:t>
            </w:r>
            <w:r w:rsidR="004A0CBD">
              <w:t xml:space="preserve">has been </w:t>
            </w:r>
            <w:r w:rsidR="00E33E98">
              <w:t>pending</w:t>
            </w:r>
            <w:r w:rsidR="004A0CBD">
              <w:t>;</w:t>
            </w:r>
            <w:r w:rsidR="00E33E98">
              <w:t xml:space="preserve"> </w:t>
            </w:r>
            <w:r w:rsidR="00B36240">
              <w:t xml:space="preserve">whether </w:t>
            </w:r>
            <w:r w:rsidR="004A0CBD">
              <w:t>it is an</w:t>
            </w:r>
            <w:r w:rsidR="00B36240">
              <w:t xml:space="preserve"> expedited request</w:t>
            </w:r>
            <w:r w:rsidR="004A0CBD">
              <w:t>;</w:t>
            </w:r>
            <w:r w:rsidR="00B36240">
              <w:t xml:space="preserve"> </w:t>
            </w:r>
            <w:r w:rsidR="00E33E98">
              <w:t xml:space="preserve">whether </w:t>
            </w:r>
            <w:r w:rsidR="004A0CBD">
              <w:t>the individual is receiving benefits</w:t>
            </w:r>
            <w:r w:rsidR="00E33E98">
              <w:t xml:space="preserve"> </w:t>
            </w:r>
            <w:r w:rsidR="004A0CBD">
              <w:t>(</w:t>
            </w:r>
            <w:r w:rsidR="00E33E98">
              <w:t>aid paid</w:t>
            </w:r>
            <w:r w:rsidR="004A0CBD">
              <w:t>)</w:t>
            </w:r>
            <w:r w:rsidR="00E33E98">
              <w:t xml:space="preserve"> pending</w:t>
            </w:r>
            <w:r w:rsidR="0024316F">
              <w:t xml:space="preserve"> the hearing decision</w:t>
            </w:r>
            <w:r w:rsidR="004A0CBD">
              <w:t>; or</w:t>
            </w:r>
            <w:r w:rsidR="00E33E98">
              <w:t xml:space="preserve"> whether </w:t>
            </w:r>
            <w:r w:rsidR="00353F7E">
              <w:t>benefit/service</w:t>
            </w:r>
            <w:r w:rsidR="00E33E98">
              <w:t xml:space="preserve"> has been terminated? </w:t>
            </w:r>
          </w:p>
        </w:tc>
      </w:tr>
      <w:tr w:rsidR="00C66B1E" w:rsidRPr="0070459E" w14:paraId="1070991C" w14:textId="77777777" w:rsidTr="6493D36F">
        <w:trPr>
          <w:cantSplit/>
        </w:trPr>
        <w:tc>
          <w:tcPr>
            <w:tcW w:w="2421" w:type="pct"/>
          </w:tcPr>
          <w:p w14:paraId="0E3B5459" w14:textId="5929E4F8" w:rsidR="00C66B1E" w:rsidRPr="0070459E" w:rsidRDefault="00C66B1E" w:rsidP="00DA2575">
            <w:pPr>
              <w:pStyle w:val="BodyText"/>
              <w:numPr>
                <w:ilvl w:val="0"/>
                <w:numId w:val="12"/>
              </w:numPr>
              <w:autoSpaceDE w:val="0"/>
              <w:autoSpaceDN w:val="0"/>
              <w:spacing w:after="0"/>
            </w:pPr>
            <w:r w:rsidRPr="0070459E">
              <w:t xml:space="preserve">Does the state anticipate an increase in fair hearing requests following the end of the </w:t>
            </w:r>
            <w:r w:rsidR="00BF44BE">
              <w:rPr>
                <w:rFonts w:asciiTheme="minorHAnsi" w:eastAsia="Times New Roman" w:hAnsiTheme="minorHAnsi" w:cstheme="minorHAnsi"/>
                <w:lang w:bidi="en-US"/>
              </w:rPr>
              <w:t>continuous enrollment condition</w:t>
            </w:r>
            <w:r w:rsidRPr="0070459E">
              <w:t>?</w:t>
            </w:r>
          </w:p>
        </w:tc>
        <w:tc>
          <w:tcPr>
            <w:tcW w:w="1357" w:type="pct"/>
          </w:tcPr>
          <w:p w14:paraId="151F9FB8" w14:textId="4950664A" w:rsidR="00BA3F86" w:rsidRDefault="004430F9" w:rsidP="00BA3F86">
            <w:pPr>
              <w:pStyle w:val="BodyText"/>
              <w:spacing w:after="0"/>
              <w:ind w:firstLine="0"/>
            </w:pPr>
            <w:sdt>
              <w:sdtPr>
                <w:id w:val="-1813018247"/>
                <w14:checkbox>
                  <w14:checked w14:val="0"/>
                  <w14:checkedState w14:val="2612" w14:font="MS Gothic"/>
                  <w14:uncheckedState w14:val="2610" w14:font="MS Gothic"/>
                </w14:checkbox>
              </w:sdtPr>
              <w:sdtEndPr/>
              <w:sdtContent>
                <w:r w:rsidR="00C66B1E" w:rsidRPr="0070459E">
                  <w:rPr>
                    <w:rFonts w:ascii="MS Gothic" w:eastAsia="MS Gothic" w:hAnsi="MS Gothic" w:hint="eastAsia"/>
                  </w:rPr>
                  <w:t>☐</w:t>
                </w:r>
              </w:sdtContent>
            </w:sdt>
            <w:r w:rsidR="00C66B1E" w:rsidRPr="0070459E">
              <w:t xml:space="preserve"> Yes</w:t>
            </w:r>
          </w:p>
          <w:p w14:paraId="793F10F6" w14:textId="2C2DC904" w:rsidR="00C66B1E" w:rsidRPr="00432E48" w:rsidRDefault="004430F9" w:rsidP="00BA3F86">
            <w:pPr>
              <w:pStyle w:val="BodyText"/>
              <w:spacing w:after="0"/>
              <w:ind w:firstLine="0"/>
              <w:rPr>
                <w:i/>
              </w:rPr>
            </w:pPr>
            <w:sdt>
              <w:sdtPr>
                <w:rPr>
                  <w:iCs/>
                </w:rPr>
                <w:id w:val="928306195"/>
                <w14:checkbox>
                  <w14:checked w14:val="0"/>
                  <w14:checkedState w14:val="2612" w14:font="MS Gothic"/>
                  <w14:uncheckedState w14:val="2610" w14:font="MS Gothic"/>
                </w14:checkbox>
              </w:sdtPr>
              <w:sdtEndPr/>
              <w:sdtContent>
                <w:r w:rsidR="00C66B1E" w:rsidRPr="0070459E">
                  <w:rPr>
                    <w:rFonts w:ascii="MS Gothic" w:eastAsia="MS Gothic" w:hAnsi="MS Gothic" w:hint="eastAsia"/>
                    <w:iCs/>
                  </w:rPr>
                  <w:t>☐</w:t>
                </w:r>
              </w:sdtContent>
            </w:sdt>
            <w:r w:rsidR="00C66B1E" w:rsidRPr="0070459E">
              <w:rPr>
                <w:iCs/>
              </w:rPr>
              <w:t xml:space="preserve"> No </w:t>
            </w:r>
            <w:r w:rsidR="00432E48">
              <w:rPr>
                <w:i/>
                <w:iCs/>
              </w:rPr>
              <w:t>(skip to Q5)</w:t>
            </w:r>
          </w:p>
        </w:tc>
        <w:tc>
          <w:tcPr>
            <w:tcW w:w="1222" w:type="pct"/>
          </w:tcPr>
          <w:p w14:paraId="037A9346" w14:textId="40C68D21" w:rsidR="00C66B1E" w:rsidRPr="007C4736" w:rsidRDefault="00CB38C6" w:rsidP="007C4736">
            <w:pPr>
              <w:pStyle w:val="BodyText"/>
              <w:ind w:firstLine="0"/>
            </w:pPr>
            <w:r>
              <w:t xml:space="preserve">If </w:t>
            </w:r>
            <w:r w:rsidRPr="00766C4D">
              <w:rPr>
                <w:i/>
              </w:rPr>
              <w:t>yes</w:t>
            </w:r>
            <w:r>
              <w:t>, is the state using methodologies to estimate any expected increase in the volume of fair hearing requests?</w:t>
            </w:r>
            <w:r w:rsidR="00E73D99">
              <w:t xml:space="preserve"> </w:t>
            </w:r>
            <w:r w:rsidR="00CB0951">
              <w:t xml:space="preserve"> </w:t>
            </w:r>
            <w:r>
              <w:t>For example, has the state reviewed the average number of fair hearing requests expected based on terminations in a given year b</w:t>
            </w:r>
            <w:r w:rsidR="004A0CBD">
              <w:t>y</w:t>
            </w:r>
            <w:r>
              <w:t xml:space="preserve"> eligibility group that could be applied to the state’s expected number of terminations after the continuous enrollment period?</w:t>
            </w:r>
          </w:p>
        </w:tc>
      </w:tr>
      <w:tr w:rsidR="00C66B1E" w:rsidRPr="0070459E" w14:paraId="3F126086" w14:textId="77777777" w:rsidTr="6493D36F">
        <w:trPr>
          <w:cantSplit/>
        </w:trPr>
        <w:tc>
          <w:tcPr>
            <w:tcW w:w="2421" w:type="pct"/>
          </w:tcPr>
          <w:p w14:paraId="4AAE6EE2" w14:textId="5F6169BC" w:rsidR="00C66B1E" w:rsidRPr="0070459E" w:rsidRDefault="00BA3F86" w:rsidP="00DA2575">
            <w:pPr>
              <w:pStyle w:val="BodyText"/>
              <w:numPr>
                <w:ilvl w:val="0"/>
                <w:numId w:val="12"/>
              </w:numPr>
              <w:autoSpaceDE w:val="0"/>
              <w:autoSpaceDN w:val="0"/>
              <w:spacing w:before="7" w:after="0"/>
            </w:pPr>
            <w:r>
              <w:lastRenderedPageBreak/>
              <w:t>If the state answered “yes” to Q</w:t>
            </w:r>
            <w:r w:rsidR="00927875">
              <w:t>3</w:t>
            </w:r>
            <w:r w:rsidR="00340023">
              <w:t>: What is the expected</w:t>
            </w:r>
            <w:r w:rsidR="00A12D02">
              <w:t xml:space="preserve"> </w:t>
            </w:r>
            <w:r>
              <w:t xml:space="preserve">increase in fair hearing requests following the end of the </w:t>
            </w:r>
            <w:r w:rsidR="00BF44BE">
              <w:t>continuous enrollment condition</w:t>
            </w:r>
            <w:r w:rsidR="00340023">
              <w:t>?</w:t>
            </w:r>
          </w:p>
        </w:tc>
        <w:tc>
          <w:tcPr>
            <w:tcW w:w="1357" w:type="pct"/>
          </w:tcPr>
          <w:p w14:paraId="20E0B848" w14:textId="77777777" w:rsidR="00A12D02" w:rsidRDefault="00A12D02" w:rsidP="00BA3F86">
            <w:pPr>
              <w:spacing w:before="7"/>
              <w:rPr>
                <w:rFonts w:asciiTheme="minorHAnsi" w:eastAsia="Times New Roman" w:hAnsiTheme="minorHAnsi" w:cstheme="minorHAnsi"/>
                <w:i/>
                <w:iCs/>
                <w:lang w:bidi="en-US"/>
              </w:rPr>
            </w:pPr>
            <w:r>
              <w:rPr>
                <w:rFonts w:asciiTheme="minorHAnsi" w:eastAsia="Times New Roman" w:hAnsiTheme="minorHAnsi" w:cstheme="minorHAnsi"/>
                <w:i/>
                <w:iCs/>
                <w:lang w:bidi="en-US"/>
              </w:rPr>
              <w:t>Enter the estimated number of additional fair hearing requests per month</w:t>
            </w:r>
          </w:p>
          <w:p w14:paraId="680A7660" w14:textId="77777777" w:rsidR="00A12D02" w:rsidRPr="00A12D02" w:rsidRDefault="00A12D02" w:rsidP="00BA3F86">
            <w:pPr>
              <w:spacing w:before="7"/>
              <w:rPr>
                <w:rFonts w:asciiTheme="minorHAnsi" w:eastAsia="Times New Roman" w:hAnsiTheme="minorHAnsi" w:cstheme="minorHAnsi"/>
                <w:i/>
                <w:iCs/>
                <w:lang w:bidi="en-US"/>
              </w:rPr>
            </w:pPr>
          </w:p>
          <w:p w14:paraId="746C2101" w14:textId="77777777" w:rsidR="00C66B1E" w:rsidRPr="00A12D02" w:rsidRDefault="00BA3F86" w:rsidP="00A12D02">
            <w:pPr>
              <w:spacing w:before="7"/>
              <w:rPr>
                <w:rFonts w:asciiTheme="minorHAnsi" w:eastAsia="Times New Roman" w:hAnsiTheme="minorHAnsi" w:cstheme="minorHAnsi"/>
                <w:i/>
                <w:iCs/>
                <w:lang w:bidi="en-US"/>
              </w:rPr>
            </w:pPr>
            <w:r w:rsidRPr="00BA3F86">
              <w:rPr>
                <w:rFonts w:asciiTheme="minorHAnsi" w:eastAsia="Times New Roman" w:hAnsiTheme="minorHAnsi" w:cstheme="minorHAnsi"/>
                <w:lang w:bidi="en-US"/>
              </w:rPr>
              <w:t xml:space="preserve">Increase in fair hearing requests/month: </w:t>
            </w:r>
            <w:r w:rsidRPr="00BA3F86">
              <w:rPr>
                <w:rFonts w:asciiTheme="minorHAnsi" w:eastAsia="Times New Roman" w:hAnsiTheme="minorHAnsi" w:cstheme="minorHAnsi"/>
                <w:color w:val="4F81BD" w:themeColor="accent1"/>
                <w:lang w:bidi="en-US"/>
              </w:rPr>
              <w:t>[</w:t>
            </w:r>
            <w:r w:rsidRPr="007F0439">
              <w:rPr>
                <w:rFonts w:asciiTheme="minorHAnsi" w:eastAsia="Times New Roman" w:hAnsiTheme="minorHAnsi" w:cstheme="minorHAnsi"/>
                <w:color w:val="4F81BD" w:themeColor="accent1"/>
                <w:lang w:bidi="en-US"/>
              </w:rPr>
              <w:t>Enter number]</w:t>
            </w:r>
            <w:r w:rsidRPr="007F0439">
              <w:rPr>
                <w:rFonts w:asciiTheme="minorHAnsi" w:eastAsia="Times New Roman" w:hAnsiTheme="minorHAnsi" w:cstheme="minorHAnsi"/>
                <w:i/>
                <w:iCs/>
                <w:color w:val="4F81BD" w:themeColor="accent1"/>
                <w:lang w:bidi="en-US"/>
              </w:rPr>
              <w:t xml:space="preserve"> </w:t>
            </w:r>
          </w:p>
        </w:tc>
        <w:tc>
          <w:tcPr>
            <w:tcW w:w="1222" w:type="pct"/>
          </w:tcPr>
          <w:p w14:paraId="733B2549" w14:textId="1C210A73" w:rsidR="00C66B1E" w:rsidRDefault="00E21F7F" w:rsidP="00C53E2D">
            <w:pPr>
              <w:pStyle w:val="BodyText"/>
              <w:spacing w:before="7"/>
              <w:ind w:firstLine="0"/>
            </w:pPr>
            <w:r>
              <w:t xml:space="preserve">How is the state planning to address increases in volume? </w:t>
            </w:r>
            <w:r w:rsidR="00CB0951">
              <w:t xml:space="preserve"> </w:t>
            </w:r>
            <w:r w:rsidR="00432E48">
              <w:t xml:space="preserve">How is the state evaluating operational and workforce changes, </w:t>
            </w:r>
            <w:r w:rsidR="00DC396A">
              <w:t xml:space="preserve">policy flexibilities, </w:t>
            </w:r>
            <w:r w:rsidR="00432E48">
              <w:t>and systems changes to support the anticipated increase?</w:t>
            </w:r>
          </w:p>
        </w:tc>
      </w:tr>
      <w:tr w:rsidR="00C66B1E" w:rsidRPr="0070459E" w14:paraId="08866009" w14:textId="77777777" w:rsidTr="6493D36F">
        <w:trPr>
          <w:cantSplit/>
        </w:trPr>
        <w:tc>
          <w:tcPr>
            <w:tcW w:w="2421" w:type="pct"/>
          </w:tcPr>
          <w:p w14:paraId="3F0DCA06" w14:textId="77777777" w:rsidR="00C66B1E" w:rsidRPr="0070459E" w:rsidRDefault="00C66B1E" w:rsidP="00DA2575">
            <w:pPr>
              <w:pStyle w:val="BodyText"/>
              <w:numPr>
                <w:ilvl w:val="0"/>
                <w:numId w:val="12"/>
              </w:numPr>
              <w:autoSpaceDE w:val="0"/>
              <w:autoSpaceDN w:val="0"/>
              <w:spacing w:before="7" w:after="0"/>
            </w:pPr>
            <w:r w:rsidRPr="0070459E">
              <w:t>What is the state’s current capacity to process fair hearings (i.e., how many fair hearings can the state process each month)?</w:t>
            </w:r>
          </w:p>
        </w:tc>
        <w:tc>
          <w:tcPr>
            <w:tcW w:w="1357" w:type="pct"/>
          </w:tcPr>
          <w:p w14:paraId="0F0C1DC0" w14:textId="77777777" w:rsidR="00C66B1E" w:rsidRPr="0070459E" w:rsidRDefault="00A12D02" w:rsidP="00BA3F86">
            <w:pPr>
              <w:pStyle w:val="BodyText"/>
              <w:spacing w:before="7"/>
              <w:ind w:firstLine="0"/>
            </w:pPr>
            <w:r>
              <w:rPr>
                <w:i/>
                <w:color w:val="595959" w:themeColor="text1" w:themeTint="A6"/>
              </w:rPr>
              <w:t>D</w:t>
            </w:r>
            <w:r w:rsidRPr="003B55CD">
              <w:rPr>
                <w:i/>
                <w:color w:val="595959" w:themeColor="text1" w:themeTint="A6"/>
              </w:rPr>
              <w:t>escribe</w:t>
            </w:r>
            <w:r>
              <w:rPr>
                <w:i/>
                <w:color w:val="595959" w:themeColor="text1" w:themeTint="A6"/>
              </w:rPr>
              <w:t xml:space="preserve">: </w:t>
            </w:r>
            <w:r w:rsidR="00BA3F86" w:rsidRPr="0070459E">
              <w:t>______________</w:t>
            </w:r>
            <w:r>
              <w:t>________________</w:t>
            </w:r>
          </w:p>
        </w:tc>
        <w:tc>
          <w:tcPr>
            <w:tcW w:w="1222" w:type="pct"/>
          </w:tcPr>
          <w:p w14:paraId="5EDE12DC" w14:textId="591EE120" w:rsidR="00C66B1E" w:rsidRPr="0070459E" w:rsidRDefault="00C53E2D" w:rsidP="00C53E2D">
            <w:pPr>
              <w:pStyle w:val="BodyText"/>
              <w:spacing w:before="7"/>
              <w:ind w:firstLine="0"/>
            </w:pPr>
            <w:r>
              <w:t xml:space="preserve">How is the state </w:t>
            </w:r>
            <w:r w:rsidR="005E016F">
              <w:t xml:space="preserve">planning to </w:t>
            </w:r>
            <w:r>
              <w:t>account for current capacity and</w:t>
            </w:r>
            <w:r w:rsidR="005334D0">
              <w:t xml:space="preserve"> addressing</w:t>
            </w:r>
            <w:r>
              <w:t xml:space="preserve"> backlogs or increases in fair hearing requests</w:t>
            </w:r>
            <w:r w:rsidR="005E016F">
              <w:t xml:space="preserve"> after the end of the </w:t>
            </w:r>
            <w:r w:rsidR="00BF44BE">
              <w:t>continuous enrollment condition</w:t>
            </w:r>
            <w:r>
              <w:t>?</w:t>
            </w:r>
            <w:r w:rsidR="00E73D99">
              <w:t xml:space="preserve">  </w:t>
            </w:r>
            <w:r w:rsidR="005C2367">
              <w:t xml:space="preserve">Fair hearing processing involves a range of actions, including: </w:t>
            </w:r>
            <w:r w:rsidR="00CB38C6">
              <w:t xml:space="preserve">providing notice of fair hearing rights, </w:t>
            </w:r>
            <w:r w:rsidR="005C2367">
              <w:t xml:space="preserve">scheduling fair hearings, </w:t>
            </w:r>
            <w:r w:rsidR="00344A28">
              <w:t>performing</w:t>
            </w:r>
            <w:r w:rsidR="00A80061">
              <w:t xml:space="preserve"> </w:t>
            </w:r>
            <w:r w:rsidR="005C2367">
              <w:t>informal resolutions,</w:t>
            </w:r>
            <w:r w:rsidR="00A80061">
              <w:t xml:space="preserve"> conducting fair hearings,</w:t>
            </w:r>
            <w:r w:rsidR="005C2367">
              <w:t xml:space="preserve"> and taking final administrative action.</w:t>
            </w:r>
            <w:r w:rsidR="00E73D99">
              <w:t xml:space="preserve"> </w:t>
            </w:r>
            <w:r w:rsidR="00CB0951">
              <w:t xml:space="preserve"> </w:t>
            </w:r>
            <w:r w:rsidR="00CB38C6">
              <w:t>What changes to any of these components of the fair hearing process could help the state to reduce the risk of backlogs and increase capacity for timely reviews?</w:t>
            </w:r>
            <w:r w:rsidR="00DC396A">
              <w:t xml:space="preserve"> </w:t>
            </w:r>
          </w:p>
        </w:tc>
      </w:tr>
    </w:tbl>
    <w:p w14:paraId="261EF224" w14:textId="77777777" w:rsidR="00C66B1E" w:rsidRDefault="00C66B1E" w:rsidP="00C66B1E">
      <w:pPr>
        <w:ind w:left="360"/>
        <w:jc w:val="both"/>
      </w:pPr>
    </w:p>
    <w:p w14:paraId="0C3C23C0" w14:textId="77777777" w:rsidR="00466D06" w:rsidRDefault="000C0B1A" w:rsidP="00DA2575">
      <w:pPr>
        <w:pStyle w:val="Heading1"/>
        <w:numPr>
          <w:ilvl w:val="0"/>
          <w:numId w:val="3"/>
        </w:numPr>
        <w:rPr>
          <w:rStyle w:val="Strong"/>
        </w:rPr>
      </w:pPr>
      <w:r>
        <w:rPr>
          <w:rStyle w:val="Strong"/>
        </w:rPr>
        <w:t xml:space="preserve">State </w:t>
      </w:r>
      <w:r w:rsidR="00A859D4">
        <w:rPr>
          <w:rStyle w:val="Strong"/>
        </w:rPr>
        <w:t xml:space="preserve">Planning </w:t>
      </w:r>
      <w:r w:rsidR="00E17928">
        <w:rPr>
          <w:rStyle w:val="Strong"/>
        </w:rPr>
        <w:t xml:space="preserve">Approach and </w:t>
      </w:r>
      <w:r>
        <w:rPr>
          <w:rStyle w:val="Strong"/>
        </w:rPr>
        <w:t>Strategies</w:t>
      </w:r>
      <w:r w:rsidR="00A859D4">
        <w:rPr>
          <w:rStyle w:val="Strong"/>
        </w:rPr>
        <w:t xml:space="preserve"> </w:t>
      </w:r>
    </w:p>
    <w:p w14:paraId="7A3439F7" w14:textId="77777777" w:rsidR="003507AC" w:rsidRDefault="003507AC" w:rsidP="003507AC"/>
    <w:p w14:paraId="40A0A1EE" w14:textId="77777777" w:rsidR="008263D7" w:rsidRDefault="003507AC" w:rsidP="00C95994">
      <w:pPr>
        <w:ind w:left="360"/>
      </w:pPr>
      <w:r>
        <w:t>To</w:t>
      </w:r>
      <w:r w:rsidRPr="00622F3C">
        <w:t xml:space="preserve"> help </w:t>
      </w:r>
      <w:r>
        <w:t xml:space="preserve">states with </w:t>
      </w:r>
      <w:r w:rsidR="0037215D">
        <w:t>their planning efforts, this section prompts states to</w:t>
      </w:r>
      <w:r w:rsidR="008263D7">
        <w:t>:</w:t>
      </w:r>
      <w:r w:rsidR="0037215D">
        <w:t xml:space="preserve"> </w:t>
      </w:r>
    </w:p>
    <w:p w14:paraId="6D710232" w14:textId="77777777" w:rsidR="008263D7" w:rsidRDefault="0037215D" w:rsidP="00DA2575">
      <w:pPr>
        <w:pStyle w:val="ListParagraph"/>
        <w:numPr>
          <w:ilvl w:val="0"/>
          <w:numId w:val="24"/>
        </w:numPr>
      </w:pPr>
      <w:r>
        <w:t>identify organization and staffing</w:t>
      </w:r>
      <w:r w:rsidR="0008113C">
        <w:t xml:space="preserve"> </w:t>
      </w:r>
      <w:r w:rsidR="00101A03">
        <w:t xml:space="preserve">resources, </w:t>
      </w:r>
    </w:p>
    <w:p w14:paraId="236E3718" w14:textId="77777777" w:rsidR="00DC715A" w:rsidRDefault="00C57703" w:rsidP="00DA2575">
      <w:pPr>
        <w:pStyle w:val="ListParagraph"/>
        <w:numPr>
          <w:ilvl w:val="0"/>
          <w:numId w:val="24"/>
        </w:numPr>
      </w:pPr>
      <w:r>
        <w:t xml:space="preserve">stage and prioritize the work ahead, </w:t>
      </w:r>
      <w:r w:rsidR="0008113C">
        <w:t>and</w:t>
      </w:r>
      <w:r w:rsidR="0037215D">
        <w:t xml:space="preserve"> </w:t>
      </w:r>
    </w:p>
    <w:p w14:paraId="5644622B" w14:textId="5A04A66A" w:rsidR="0037215D" w:rsidRDefault="00DC715A" w:rsidP="00DA2575">
      <w:pPr>
        <w:pStyle w:val="ListParagraph"/>
        <w:numPr>
          <w:ilvl w:val="0"/>
          <w:numId w:val="24"/>
        </w:numPr>
      </w:pPr>
      <w:r>
        <w:t xml:space="preserve">anticipate </w:t>
      </w:r>
      <w:r w:rsidR="0037215D">
        <w:t xml:space="preserve">key </w:t>
      </w:r>
      <w:r w:rsidR="008C01D9">
        <w:t>risks</w:t>
      </w:r>
      <w:r>
        <w:t xml:space="preserve"> and determine </w:t>
      </w:r>
      <w:r w:rsidR="008C01D9">
        <w:t xml:space="preserve">mitigation </w:t>
      </w:r>
      <w:r w:rsidR="0037215D">
        <w:t>strategies</w:t>
      </w:r>
      <w:r w:rsidR="00361ACE">
        <w:t xml:space="preserve"> for completing </w:t>
      </w:r>
      <w:r w:rsidR="009A10B7">
        <w:t>E&amp;E</w:t>
      </w:r>
      <w:r w:rsidR="00361ACE">
        <w:t xml:space="preserve"> actions as planned.</w:t>
      </w:r>
    </w:p>
    <w:p w14:paraId="1876EC48" w14:textId="77777777" w:rsidR="0037215D" w:rsidRDefault="0037215D" w:rsidP="00C95994">
      <w:pPr>
        <w:ind w:left="360"/>
      </w:pPr>
    </w:p>
    <w:p w14:paraId="255345C6" w14:textId="77777777" w:rsidR="00256DEF" w:rsidRPr="001D34C1" w:rsidRDefault="00256DEF" w:rsidP="00DA2575">
      <w:pPr>
        <w:pStyle w:val="ListParagraph"/>
        <w:numPr>
          <w:ilvl w:val="0"/>
          <w:numId w:val="4"/>
        </w:numPr>
        <w:rPr>
          <w:rFonts w:asciiTheme="majorHAnsi" w:hAnsiTheme="majorHAnsi" w:cstheme="minorHAnsi"/>
          <w:b/>
          <w:bCs/>
          <w:i/>
          <w:iCs/>
          <w:color w:val="1F497D" w:themeColor="text2"/>
          <w:sz w:val="24"/>
          <w:szCs w:val="24"/>
        </w:rPr>
      </w:pPr>
      <w:r w:rsidRPr="001D34C1">
        <w:rPr>
          <w:rFonts w:asciiTheme="majorHAnsi" w:hAnsiTheme="majorHAnsi" w:cstheme="minorHAnsi"/>
          <w:b/>
          <w:bCs/>
          <w:i/>
          <w:iCs/>
          <w:color w:val="365F91" w:themeColor="accent1" w:themeShade="BF"/>
          <w:sz w:val="28"/>
          <w:szCs w:val="28"/>
        </w:rPr>
        <w:t>Organization</w:t>
      </w:r>
      <w:r w:rsidR="001A38A8" w:rsidRPr="001D34C1">
        <w:rPr>
          <w:rFonts w:asciiTheme="majorHAnsi" w:hAnsiTheme="majorHAnsi" w:cstheme="minorHAnsi"/>
          <w:b/>
          <w:bCs/>
          <w:i/>
          <w:iCs/>
          <w:color w:val="365F91" w:themeColor="accent1" w:themeShade="BF"/>
          <w:sz w:val="28"/>
          <w:szCs w:val="28"/>
        </w:rPr>
        <w:t xml:space="preserve"> and Staffing</w:t>
      </w:r>
    </w:p>
    <w:p w14:paraId="06A87894" w14:textId="77777777" w:rsidR="007D4D6F" w:rsidRPr="007D4D6F" w:rsidRDefault="007D4D6F" w:rsidP="007D4D6F">
      <w:pPr>
        <w:pStyle w:val="ListParagraph"/>
        <w:rPr>
          <w:rFonts w:asciiTheme="majorHAnsi" w:hAnsiTheme="majorHAnsi" w:cstheme="minorHAnsi"/>
          <w:b/>
          <w:bCs/>
          <w:i/>
          <w:iCs/>
          <w:color w:val="1F497D" w:themeColor="text2"/>
          <w:sz w:val="24"/>
          <w:szCs w:val="24"/>
        </w:rPr>
      </w:pPr>
    </w:p>
    <w:p w14:paraId="0826695C" w14:textId="2AA315F5" w:rsidR="004E1E71" w:rsidRDefault="008A7933" w:rsidP="00DA2575">
      <w:pPr>
        <w:pStyle w:val="ListParagraph"/>
        <w:numPr>
          <w:ilvl w:val="0"/>
          <w:numId w:val="1"/>
        </w:numPr>
        <w:ind w:left="1080"/>
        <w:rPr>
          <w:rFonts w:asciiTheme="minorHAnsi" w:hAnsiTheme="minorHAnsi" w:cstheme="minorHAnsi"/>
          <w:b/>
          <w:bCs/>
        </w:rPr>
      </w:pPr>
      <w:r>
        <w:rPr>
          <w:rFonts w:asciiTheme="minorHAnsi" w:hAnsiTheme="minorHAnsi" w:cstheme="minorHAnsi"/>
          <w:b/>
          <w:bCs/>
        </w:rPr>
        <w:t xml:space="preserve">Describe how your </w:t>
      </w:r>
      <w:r w:rsidR="00256DEF">
        <w:rPr>
          <w:rFonts w:asciiTheme="minorHAnsi" w:hAnsiTheme="minorHAnsi" w:cstheme="minorHAnsi"/>
          <w:b/>
          <w:bCs/>
        </w:rPr>
        <w:t>s</w:t>
      </w:r>
      <w:r w:rsidR="00256DEF" w:rsidRPr="00931074">
        <w:rPr>
          <w:rFonts w:asciiTheme="minorHAnsi" w:hAnsiTheme="minorHAnsi" w:cstheme="minorHAnsi"/>
          <w:b/>
          <w:bCs/>
        </w:rPr>
        <w:t>tate</w:t>
      </w:r>
      <w:r w:rsidR="00256DEF">
        <w:rPr>
          <w:rFonts w:asciiTheme="minorHAnsi" w:hAnsiTheme="minorHAnsi" w:cstheme="minorHAnsi"/>
          <w:b/>
          <w:bCs/>
        </w:rPr>
        <w:t xml:space="preserve"> </w:t>
      </w:r>
      <w:r w:rsidR="00FC5A7B">
        <w:rPr>
          <w:rFonts w:asciiTheme="minorHAnsi" w:hAnsiTheme="minorHAnsi" w:cstheme="minorHAnsi"/>
          <w:b/>
          <w:bCs/>
        </w:rPr>
        <w:t xml:space="preserve">is </w:t>
      </w:r>
      <w:r w:rsidR="00256DEF" w:rsidRPr="00931074">
        <w:rPr>
          <w:rFonts w:asciiTheme="minorHAnsi" w:hAnsiTheme="minorHAnsi" w:cstheme="minorHAnsi"/>
          <w:b/>
          <w:bCs/>
        </w:rPr>
        <w:t>organized to support planning</w:t>
      </w:r>
      <w:r w:rsidR="00256DEF">
        <w:rPr>
          <w:rFonts w:asciiTheme="minorHAnsi" w:hAnsiTheme="minorHAnsi" w:cstheme="minorHAnsi"/>
          <w:b/>
          <w:bCs/>
        </w:rPr>
        <w:t xml:space="preserve"> for resolving pending </w:t>
      </w:r>
      <w:r w:rsidR="007079B2">
        <w:rPr>
          <w:rFonts w:asciiTheme="minorHAnsi" w:hAnsiTheme="minorHAnsi" w:cstheme="minorHAnsi"/>
          <w:b/>
          <w:bCs/>
        </w:rPr>
        <w:t>E&amp;E</w:t>
      </w:r>
      <w:r w:rsidR="00256DEF">
        <w:rPr>
          <w:rFonts w:asciiTheme="minorHAnsi" w:hAnsiTheme="minorHAnsi" w:cstheme="minorHAnsi"/>
          <w:b/>
          <w:bCs/>
        </w:rPr>
        <w:t xml:space="preserve"> actions and resuming normal operations</w:t>
      </w:r>
      <w:r>
        <w:rPr>
          <w:rFonts w:asciiTheme="minorHAnsi" w:hAnsiTheme="minorHAnsi" w:cstheme="minorHAnsi"/>
          <w:b/>
          <w:bCs/>
        </w:rPr>
        <w:t>. Identify</w:t>
      </w:r>
      <w:r w:rsidR="004E1E71">
        <w:rPr>
          <w:rFonts w:asciiTheme="minorHAnsi" w:hAnsiTheme="minorHAnsi" w:cstheme="minorHAnsi"/>
          <w:b/>
          <w:bCs/>
        </w:rPr>
        <w:t xml:space="preserve"> other State or local agencies </w:t>
      </w:r>
      <w:r w:rsidR="00AA6174">
        <w:rPr>
          <w:rFonts w:asciiTheme="minorHAnsi" w:hAnsiTheme="minorHAnsi" w:cstheme="minorHAnsi"/>
          <w:b/>
          <w:bCs/>
        </w:rPr>
        <w:t xml:space="preserve">that </w:t>
      </w:r>
      <w:r w:rsidR="004E1E71">
        <w:rPr>
          <w:rFonts w:asciiTheme="minorHAnsi" w:hAnsiTheme="minorHAnsi" w:cstheme="minorHAnsi"/>
          <w:b/>
          <w:bCs/>
        </w:rPr>
        <w:t xml:space="preserve">are key partners for resolving pending E&amp;E actions and resuming normal operations </w:t>
      </w:r>
      <w:r w:rsidR="004E1E71" w:rsidRPr="003B46CF">
        <w:rPr>
          <w:rFonts w:asciiTheme="minorHAnsi" w:hAnsiTheme="minorHAnsi" w:cstheme="minorHAnsi"/>
          <w:i/>
          <w:iCs/>
        </w:rPr>
        <w:t xml:space="preserve">(e.g., State human services agency, State-based Marketplace, </w:t>
      </w:r>
      <w:r w:rsidR="00841EC5" w:rsidRPr="003B46CF">
        <w:rPr>
          <w:rFonts w:asciiTheme="minorHAnsi" w:hAnsiTheme="minorHAnsi" w:cstheme="minorHAnsi"/>
          <w:i/>
          <w:iCs/>
        </w:rPr>
        <w:t>local social services agencies)</w:t>
      </w:r>
      <w:r w:rsidR="00101A03">
        <w:rPr>
          <w:rFonts w:asciiTheme="minorHAnsi" w:hAnsiTheme="minorHAnsi" w:cstheme="minorHAnsi"/>
        </w:rPr>
        <w:t>.</w:t>
      </w:r>
      <w:r w:rsidR="00E73D99">
        <w:rPr>
          <w:rFonts w:asciiTheme="minorHAnsi" w:hAnsiTheme="minorHAnsi" w:cstheme="minorHAnsi"/>
          <w:b/>
          <w:bCs/>
        </w:rPr>
        <w:t xml:space="preserve"> </w:t>
      </w:r>
    </w:p>
    <w:p w14:paraId="44A4AC9D" w14:textId="77777777" w:rsidR="00256DEF" w:rsidRDefault="00256DEF" w:rsidP="004E1E71">
      <w:pPr>
        <w:pStyle w:val="ListParagraph"/>
        <w:ind w:left="1080"/>
        <w:rPr>
          <w:rFonts w:asciiTheme="minorHAnsi" w:hAnsiTheme="minorHAnsi" w:cstheme="minorHAnsi"/>
          <w:b/>
          <w:bCs/>
        </w:rPr>
      </w:pPr>
    </w:p>
    <w:tbl>
      <w:tblPr>
        <w:tblStyle w:val="TableGrid"/>
        <w:tblW w:w="16735" w:type="dxa"/>
        <w:tblInd w:w="720" w:type="dxa"/>
        <w:tblLook w:val="04A0" w:firstRow="1" w:lastRow="0" w:firstColumn="1" w:lastColumn="0" w:noHBand="0" w:noVBand="1"/>
      </w:tblPr>
      <w:tblGrid>
        <w:gridCol w:w="16735"/>
      </w:tblGrid>
      <w:tr w:rsidR="00256DEF" w:rsidRPr="004A3390" w14:paraId="288D9ED4" w14:textId="77777777" w:rsidTr="6493D36F">
        <w:trPr>
          <w:cantSplit/>
          <w:trHeight w:val="422"/>
          <w:tblHeader/>
        </w:trPr>
        <w:tc>
          <w:tcPr>
            <w:tcW w:w="16735" w:type="dxa"/>
            <w:shd w:val="clear" w:color="auto" w:fill="4F81BD" w:themeFill="accent1"/>
          </w:tcPr>
          <w:p w14:paraId="7C7ED3BB" w14:textId="77777777" w:rsidR="00256DEF" w:rsidRPr="003E3706" w:rsidRDefault="00256DEF" w:rsidP="0074184D">
            <w:pPr>
              <w:pStyle w:val="BodyText"/>
              <w:spacing w:before="7" w:after="0"/>
              <w:ind w:firstLine="0"/>
              <w:jc w:val="center"/>
              <w:rPr>
                <w:i/>
                <w:iCs/>
                <w:color w:val="FFFFFF" w:themeColor="background1"/>
              </w:rPr>
            </w:pPr>
            <w:r w:rsidRPr="00BE43F1">
              <w:rPr>
                <w:i/>
                <w:iCs/>
              </w:rPr>
              <w:t xml:space="preserve">Narrative Summary </w:t>
            </w:r>
          </w:p>
        </w:tc>
      </w:tr>
      <w:tr w:rsidR="00256DEF" w:rsidRPr="00262D62" w14:paraId="11CB29F8" w14:textId="77777777" w:rsidTr="6493D36F">
        <w:trPr>
          <w:cantSplit/>
          <w:trHeight w:val="980"/>
        </w:trPr>
        <w:tc>
          <w:tcPr>
            <w:tcW w:w="16735" w:type="dxa"/>
            <w:shd w:val="clear" w:color="auto" w:fill="auto"/>
          </w:tcPr>
          <w:p w14:paraId="5C12E216" w14:textId="77777777" w:rsidR="00E34105" w:rsidRDefault="00E34105" w:rsidP="00B86AC5">
            <w:pPr>
              <w:pStyle w:val="BodyText"/>
              <w:spacing w:before="7"/>
              <w:ind w:firstLine="0"/>
              <w:rPr>
                <w:rFonts w:asciiTheme="minorHAnsi" w:eastAsia="Times New Roman" w:hAnsiTheme="minorHAnsi" w:cstheme="minorHAnsi"/>
                <w:bCs/>
                <w:i/>
                <w:iCs/>
                <w:color w:val="595959" w:themeColor="text1" w:themeTint="A6"/>
                <w:lang w:bidi="en-US"/>
              </w:rPr>
            </w:pPr>
          </w:p>
          <w:p w14:paraId="5B78533C" w14:textId="77777777" w:rsidR="00E34105" w:rsidRDefault="00E34105" w:rsidP="00B86AC5">
            <w:pPr>
              <w:pStyle w:val="BodyText"/>
              <w:spacing w:before="7"/>
              <w:ind w:firstLine="0"/>
              <w:rPr>
                <w:rFonts w:asciiTheme="minorHAnsi" w:eastAsia="Times New Roman" w:hAnsiTheme="minorHAnsi" w:cstheme="minorHAnsi"/>
                <w:bCs/>
                <w:i/>
                <w:iCs/>
                <w:color w:val="595959" w:themeColor="text1" w:themeTint="A6"/>
                <w:lang w:bidi="en-US"/>
              </w:rPr>
            </w:pPr>
          </w:p>
          <w:p w14:paraId="321E1E8E" w14:textId="77777777" w:rsidR="00E34105" w:rsidRDefault="00E34105" w:rsidP="00B86AC5">
            <w:pPr>
              <w:pStyle w:val="BodyText"/>
              <w:spacing w:before="7"/>
              <w:ind w:firstLine="0"/>
              <w:rPr>
                <w:rFonts w:asciiTheme="minorHAnsi" w:eastAsia="Times New Roman" w:hAnsiTheme="minorHAnsi" w:cstheme="minorHAnsi"/>
                <w:bCs/>
                <w:i/>
                <w:iCs/>
                <w:color w:val="595959" w:themeColor="text1" w:themeTint="A6"/>
                <w:lang w:bidi="en-US"/>
              </w:rPr>
            </w:pPr>
          </w:p>
          <w:p w14:paraId="48870DCB" w14:textId="77777777" w:rsidR="00E34105" w:rsidRDefault="00E34105" w:rsidP="00B86AC5">
            <w:pPr>
              <w:pStyle w:val="BodyText"/>
              <w:spacing w:before="7"/>
              <w:ind w:firstLine="0"/>
              <w:rPr>
                <w:rFonts w:asciiTheme="minorHAnsi" w:eastAsia="Times New Roman" w:hAnsiTheme="minorHAnsi" w:cstheme="minorHAnsi"/>
                <w:bCs/>
                <w:i/>
                <w:iCs/>
                <w:color w:val="595959" w:themeColor="text1" w:themeTint="A6"/>
                <w:lang w:bidi="en-US"/>
              </w:rPr>
            </w:pPr>
          </w:p>
          <w:p w14:paraId="00290748" w14:textId="77777777" w:rsidR="00E34105" w:rsidRDefault="00E34105" w:rsidP="00B86AC5">
            <w:pPr>
              <w:pStyle w:val="BodyText"/>
              <w:spacing w:before="7"/>
              <w:ind w:firstLine="0"/>
              <w:rPr>
                <w:rFonts w:asciiTheme="minorHAnsi" w:eastAsia="Times New Roman" w:hAnsiTheme="minorHAnsi" w:cstheme="minorHAnsi"/>
                <w:bCs/>
                <w:i/>
                <w:iCs/>
                <w:color w:val="595959" w:themeColor="text1" w:themeTint="A6"/>
                <w:lang w:bidi="en-US"/>
              </w:rPr>
            </w:pPr>
          </w:p>
          <w:p w14:paraId="4109032A" w14:textId="77777777" w:rsidR="00256DEF" w:rsidRPr="00262D62" w:rsidRDefault="00256DEF" w:rsidP="0074184D">
            <w:pPr>
              <w:pStyle w:val="BodyText"/>
              <w:spacing w:before="7"/>
              <w:ind w:firstLine="0"/>
              <w:jc w:val="center"/>
              <w:rPr>
                <w:color w:val="FFFFFF" w:themeColor="background1"/>
              </w:rPr>
            </w:pPr>
          </w:p>
        </w:tc>
      </w:tr>
    </w:tbl>
    <w:p w14:paraId="3A15CA70" w14:textId="77777777" w:rsidR="00256DEF" w:rsidRPr="00D11140" w:rsidRDefault="00256DEF" w:rsidP="00256DEF">
      <w:pPr>
        <w:ind w:left="1440"/>
        <w:rPr>
          <w:rFonts w:asciiTheme="minorHAnsi" w:hAnsiTheme="minorHAnsi" w:cstheme="minorHAnsi"/>
          <w:b/>
          <w:bCs/>
        </w:rPr>
      </w:pPr>
    </w:p>
    <w:p w14:paraId="7103FF21" w14:textId="77777777" w:rsidR="00256DEF" w:rsidRDefault="001F18C9" w:rsidP="00DA2575">
      <w:pPr>
        <w:pStyle w:val="ListParagraph"/>
        <w:numPr>
          <w:ilvl w:val="0"/>
          <w:numId w:val="1"/>
        </w:numPr>
        <w:ind w:left="1080"/>
        <w:rPr>
          <w:rFonts w:asciiTheme="minorHAnsi" w:hAnsiTheme="minorHAnsi" w:cstheme="minorHAnsi"/>
          <w:b/>
          <w:bCs/>
        </w:rPr>
      </w:pPr>
      <w:r>
        <w:rPr>
          <w:rFonts w:asciiTheme="minorHAnsi" w:hAnsiTheme="minorHAnsi" w:cstheme="minorHAnsi"/>
          <w:b/>
          <w:bCs/>
        </w:rPr>
        <w:t>I</w:t>
      </w:r>
      <w:r w:rsidR="00FA3CCE">
        <w:rPr>
          <w:rFonts w:asciiTheme="minorHAnsi" w:hAnsiTheme="minorHAnsi" w:cstheme="minorHAnsi"/>
          <w:b/>
          <w:bCs/>
        </w:rPr>
        <w:t>ndicate</w:t>
      </w:r>
      <w:r w:rsidR="00256DEF" w:rsidRPr="00931074">
        <w:rPr>
          <w:rFonts w:asciiTheme="minorHAnsi" w:hAnsiTheme="minorHAnsi" w:cstheme="minorHAnsi"/>
          <w:b/>
          <w:bCs/>
        </w:rPr>
        <w:t xml:space="preserve"> the designated leads and supporting teams identifying changes and strategies</w:t>
      </w:r>
      <w:r w:rsidR="00EB2529">
        <w:rPr>
          <w:rFonts w:asciiTheme="minorHAnsi" w:hAnsiTheme="minorHAnsi" w:cstheme="minorHAnsi"/>
          <w:b/>
          <w:bCs/>
        </w:rPr>
        <w:t xml:space="preserve"> for resolving pending E&amp;E action</w:t>
      </w:r>
      <w:r w:rsidR="009512C7">
        <w:rPr>
          <w:rFonts w:asciiTheme="minorHAnsi" w:hAnsiTheme="minorHAnsi" w:cstheme="minorHAnsi"/>
          <w:b/>
          <w:bCs/>
        </w:rPr>
        <w:t>s</w:t>
      </w:r>
      <w:r w:rsidR="00EB2529">
        <w:rPr>
          <w:rFonts w:asciiTheme="minorHAnsi" w:hAnsiTheme="minorHAnsi" w:cstheme="minorHAnsi"/>
          <w:b/>
          <w:bCs/>
        </w:rPr>
        <w:t xml:space="preserve"> and resuming normal operations</w:t>
      </w:r>
      <w:r>
        <w:rPr>
          <w:rFonts w:asciiTheme="minorHAnsi" w:hAnsiTheme="minorHAnsi" w:cstheme="minorHAnsi"/>
          <w:b/>
          <w:bCs/>
        </w:rPr>
        <w:t xml:space="preserve">. </w:t>
      </w:r>
    </w:p>
    <w:p w14:paraId="415F8A07" w14:textId="77777777" w:rsidR="00EB2529" w:rsidRPr="00931074" w:rsidRDefault="00EB2529" w:rsidP="00EB2529">
      <w:pPr>
        <w:pStyle w:val="ListParagraph"/>
        <w:ind w:left="1080"/>
        <w:rPr>
          <w:rFonts w:asciiTheme="minorHAnsi" w:hAnsiTheme="minorHAnsi" w:cstheme="minorHAnsi"/>
          <w:b/>
          <w:bCs/>
        </w:rPr>
      </w:pPr>
    </w:p>
    <w:tbl>
      <w:tblPr>
        <w:tblStyle w:val="TableGrid"/>
        <w:tblW w:w="16740" w:type="dxa"/>
        <w:tblInd w:w="715" w:type="dxa"/>
        <w:tblLook w:val="04A0" w:firstRow="1" w:lastRow="0" w:firstColumn="1" w:lastColumn="0" w:noHBand="0" w:noVBand="1"/>
      </w:tblPr>
      <w:tblGrid>
        <w:gridCol w:w="3577"/>
        <w:gridCol w:w="3685"/>
        <w:gridCol w:w="9478"/>
      </w:tblGrid>
      <w:tr w:rsidR="00BE43F1" w:rsidRPr="00BE43F1" w14:paraId="75FF1920" w14:textId="77777777" w:rsidTr="6493D36F">
        <w:trPr>
          <w:trHeight w:val="413"/>
          <w:tblHeader/>
        </w:trPr>
        <w:tc>
          <w:tcPr>
            <w:tcW w:w="3577" w:type="dxa"/>
            <w:shd w:val="clear" w:color="auto" w:fill="4F81BD" w:themeFill="accent1"/>
          </w:tcPr>
          <w:p w14:paraId="093EFDE5" w14:textId="77777777" w:rsidR="00256DEF" w:rsidRPr="00BE43F1" w:rsidRDefault="00256DEF" w:rsidP="0074184D">
            <w:pPr>
              <w:rPr>
                <w:rFonts w:asciiTheme="minorHAnsi" w:hAnsiTheme="minorHAnsi" w:cstheme="minorHAnsi"/>
                <w:b/>
                <w:bCs/>
              </w:rPr>
            </w:pPr>
            <w:r w:rsidRPr="00BE43F1">
              <w:rPr>
                <w:rFonts w:asciiTheme="minorHAnsi" w:hAnsiTheme="minorHAnsi" w:cstheme="minorBidi"/>
                <w:b/>
                <w:bCs/>
              </w:rPr>
              <w:t>Area</w:t>
            </w:r>
          </w:p>
        </w:tc>
        <w:tc>
          <w:tcPr>
            <w:tcW w:w="3685" w:type="dxa"/>
            <w:shd w:val="clear" w:color="auto" w:fill="4F81BD" w:themeFill="accent1"/>
          </w:tcPr>
          <w:p w14:paraId="509EFB61" w14:textId="77777777" w:rsidR="00256DEF" w:rsidRPr="00BE43F1" w:rsidRDefault="00256DEF" w:rsidP="0074184D">
            <w:pPr>
              <w:rPr>
                <w:rFonts w:asciiTheme="minorHAnsi" w:hAnsiTheme="minorHAnsi" w:cstheme="minorHAnsi"/>
                <w:b/>
                <w:bCs/>
              </w:rPr>
            </w:pPr>
            <w:r w:rsidRPr="00BE43F1">
              <w:rPr>
                <w:rFonts w:asciiTheme="minorHAnsi" w:hAnsiTheme="minorHAnsi" w:cstheme="minorBidi"/>
                <w:b/>
                <w:bCs/>
              </w:rPr>
              <w:t>Lead</w:t>
            </w:r>
          </w:p>
        </w:tc>
        <w:tc>
          <w:tcPr>
            <w:tcW w:w="9478" w:type="dxa"/>
            <w:shd w:val="clear" w:color="auto" w:fill="4F81BD" w:themeFill="accent1"/>
          </w:tcPr>
          <w:p w14:paraId="7E1E931F" w14:textId="77777777" w:rsidR="00256DEF" w:rsidRPr="00BE43F1" w:rsidRDefault="00256DEF" w:rsidP="0074184D">
            <w:pPr>
              <w:rPr>
                <w:rFonts w:asciiTheme="minorHAnsi" w:hAnsiTheme="minorHAnsi" w:cstheme="minorHAnsi"/>
                <w:b/>
                <w:bCs/>
              </w:rPr>
            </w:pPr>
            <w:r w:rsidRPr="00BE43F1">
              <w:rPr>
                <w:rFonts w:asciiTheme="minorHAnsi" w:hAnsiTheme="minorHAnsi" w:cstheme="minorBidi"/>
                <w:b/>
                <w:bCs/>
              </w:rPr>
              <w:t>Supporting Team(s)</w:t>
            </w:r>
          </w:p>
        </w:tc>
      </w:tr>
      <w:tr w:rsidR="00256DEF" w:rsidRPr="00BD77C8" w14:paraId="5465F41A" w14:textId="77777777" w:rsidTr="6493D36F">
        <w:tc>
          <w:tcPr>
            <w:tcW w:w="3577" w:type="dxa"/>
          </w:tcPr>
          <w:p w14:paraId="5673CD0C" w14:textId="77777777" w:rsidR="00256DEF" w:rsidRPr="00931074" w:rsidRDefault="00256DEF" w:rsidP="0074184D">
            <w:pPr>
              <w:pStyle w:val="BodyText"/>
              <w:spacing w:before="7"/>
              <w:ind w:firstLine="60"/>
              <w:rPr>
                <w:b/>
                <w:bCs/>
              </w:rPr>
            </w:pPr>
            <w:r w:rsidRPr="00931074">
              <w:rPr>
                <w:b/>
                <w:bCs/>
              </w:rPr>
              <w:t>Policy</w:t>
            </w:r>
          </w:p>
        </w:tc>
        <w:tc>
          <w:tcPr>
            <w:tcW w:w="3685" w:type="dxa"/>
          </w:tcPr>
          <w:p w14:paraId="338E18E8" w14:textId="77777777" w:rsidR="00256DEF" w:rsidRPr="00BD77C8" w:rsidRDefault="00256DEF" w:rsidP="0074184D">
            <w:pPr>
              <w:pStyle w:val="BodyText"/>
              <w:spacing w:before="7"/>
              <w:ind w:firstLine="60"/>
            </w:pPr>
          </w:p>
        </w:tc>
        <w:tc>
          <w:tcPr>
            <w:tcW w:w="9478" w:type="dxa"/>
          </w:tcPr>
          <w:p w14:paraId="6D5E440F" w14:textId="77777777" w:rsidR="00256DEF" w:rsidRPr="00BD77C8" w:rsidRDefault="00256DEF" w:rsidP="0074184D">
            <w:pPr>
              <w:pStyle w:val="BodyText"/>
              <w:spacing w:before="7"/>
              <w:ind w:firstLine="60"/>
            </w:pPr>
          </w:p>
        </w:tc>
      </w:tr>
      <w:tr w:rsidR="00256DEF" w:rsidRPr="00BD77C8" w14:paraId="2809C775" w14:textId="77777777" w:rsidTr="6493D36F">
        <w:tc>
          <w:tcPr>
            <w:tcW w:w="3577" w:type="dxa"/>
          </w:tcPr>
          <w:p w14:paraId="66525EA3" w14:textId="51D8CD08" w:rsidR="00256DEF" w:rsidRPr="00931074" w:rsidRDefault="00256DEF" w:rsidP="0074184D">
            <w:pPr>
              <w:pStyle w:val="BodyText"/>
              <w:spacing w:before="7"/>
              <w:ind w:firstLine="60"/>
              <w:rPr>
                <w:b/>
                <w:bCs/>
              </w:rPr>
            </w:pPr>
            <w:r w:rsidRPr="00931074">
              <w:rPr>
                <w:b/>
                <w:bCs/>
              </w:rPr>
              <w:t>Operations</w:t>
            </w:r>
            <w:r w:rsidR="008165D6">
              <w:rPr>
                <w:b/>
                <w:bCs/>
              </w:rPr>
              <w:t xml:space="preserve"> (including workforce)</w:t>
            </w:r>
          </w:p>
        </w:tc>
        <w:tc>
          <w:tcPr>
            <w:tcW w:w="3685" w:type="dxa"/>
          </w:tcPr>
          <w:p w14:paraId="01058137" w14:textId="77777777" w:rsidR="00256DEF" w:rsidRPr="00BD77C8" w:rsidRDefault="00256DEF" w:rsidP="0074184D">
            <w:pPr>
              <w:pStyle w:val="BodyText"/>
              <w:spacing w:before="7"/>
              <w:ind w:firstLine="60"/>
            </w:pPr>
          </w:p>
        </w:tc>
        <w:tc>
          <w:tcPr>
            <w:tcW w:w="9478" w:type="dxa"/>
          </w:tcPr>
          <w:p w14:paraId="4B3AC0F8" w14:textId="77777777" w:rsidR="00256DEF" w:rsidRPr="00BD77C8" w:rsidRDefault="00256DEF" w:rsidP="0074184D">
            <w:pPr>
              <w:pStyle w:val="BodyText"/>
              <w:spacing w:before="7"/>
              <w:ind w:firstLine="60"/>
            </w:pPr>
          </w:p>
        </w:tc>
      </w:tr>
      <w:tr w:rsidR="00256DEF" w:rsidRPr="00BD77C8" w14:paraId="4BA5E72F" w14:textId="77777777" w:rsidTr="6493D36F">
        <w:tc>
          <w:tcPr>
            <w:tcW w:w="3577" w:type="dxa"/>
          </w:tcPr>
          <w:p w14:paraId="1A359EE2" w14:textId="77777777" w:rsidR="00256DEF" w:rsidRPr="00931074" w:rsidRDefault="00256DEF" w:rsidP="0074184D">
            <w:pPr>
              <w:pStyle w:val="BodyText"/>
              <w:spacing w:before="7"/>
              <w:ind w:firstLine="60"/>
              <w:rPr>
                <w:b/>
                <w:bCs/>
              </w:rPr>
            </w:pPr>
            <w:r w:rsidRPr="00931074">
              <w:rPr>
                <w:b/>
                <w:bCs/>
              </w:rPr>
              <w:t>Systems</w:t>
            </w:r>
          </w:p>
        </w:tc>
        <w:tc>
          <w:tcPr>
            <w:tcW w:w="3685" w:type="dxa"/>
          </w:tcPr>
          <w:p w14:paraId="161D139A" w14:textId="77777777" w:rsidR="00256DEF" w:rsidRPr="00BD77C8" w:rsidRDefault="00256DEF" w:rsidP="0074184D">
            <w:pPr>
              <w:pStyle w:val="BodyText"/>
              <w:spacing w:before="7"/>
              <w:ind w:firstLine="60"/>
            </w:pPr>
          </w:p>
        </w:tc>
        <w:tc>
          <w:tcPr>
            <w:tcW w:w="9478" w:type="dxa"/>
          </w:tcPr>
          <w:p w14:paraId="7485CA11" w14:textId="77777777" w:rsidR="00256DEF" w:rsidRPr="00BD77C8" w:rsidRDefault="00256DEF" w:rsidP="0074184D">
            <w:pPr>
              <w:pStyle w:val="BodyText"/>
              <w:spacing w:before="7"/>
              <w:ind w:firstLine="60"/>
            </w:pPr>
          </w:p>
        </w:tc>
      </w:tr>
      <w:tr w:rsidR="00256DEF" w:rsidRPr="00BD77C8" w14:paraId="41507FAB" w14:textId="77777777" w:rsidTr="6493D36F">
        <w:tc>
          <w:tcPr>
            <w:tcW w:w="3577" w:type="dxa"/>
          </w:tcPr>
          <w:p w14:paraId="36A2DD67" w14:textId="77777777" w:rsidR="00256DEF" w:rsidRPr="00931074" w:rsidRDefault="00256DEF" w:rsidP="0074184D">
            <w:pPr>
              <w:pStyle w:val="BodyText"/>
              <w:spacing w:before="7"/>
              <w:ind w:firstLine="60"/>
              <w:rPr>
                <w:b/>
                <w:bCs/>
              </w:rPr>
            </w:pPr>
            <w:r w:rsidRPr="00931074">
              <w:rPr>
                <w:b/>
                <w:bCs/>
              </w:rPr>
              <w:t>Training</w:t>
            </w:r>
          </w:p>
        </w:tc>
        <w:tc>
          <w:tcPr>
            <w:tcW w:w="3685" w:type="dxa"/>
          </w:tcPr>
          <w:p w14:paraId="21147E67" w14:textId="77777777" w:rsidR="00256DEF" w:rsidRPr="00BD77C8" w:rsidRDefault="00256DEF" w:rsidP="0074184D">
            <w:pPr>
              <w:pStyle w:val="BodyText"/>
              <w:spacing w:before="7"/>
              <w:ind w:firstLine="60"/>
            </w:pPr>
          </w:p>
        </w:tc>
        <w:tc>
          <w:tcPr>
            <w:tcW w:w="9478" w:type="dxa"/>
          </w:tcPr>
          <w:p w14:paraId="2A4201EC" w14:textId="77777777" w:rsidR="00256DEF" w:rsidRPr="00BD77C8" w:rsidRDefault="00256DEF" w:rsidP="0074184D">
            <w:pPr>
              <w:pStyle w:val="BodyText"/>
              <w:spacing w:before="7"/>
              <w:ind w:firstLine="60"/>
            </w:pPr>
          </w:p>
        </w:tc>
      </w:tr>
      <w:tr w:rsidR="00256DEF" w:rsidRPr="00BD77C8" w14:paraId="497A07C2" w14:textId="77777777" w:rsidTr="6493D36F">
        <w:trPr>
          <w:trHeight w:val="413"/>
        </w:trPr>
        <w:tc>
          <w:tcPr>
            <w:tcW w:w="3577" w:type="dxa"/>
          </w:tcPr>
          <w:p w14:paraId="483EA128" w14:textId="77777777" w:rsidR="00256DEF" w:rsidRPr="00931074" w:rsidRDefault="00256DEF" w:rsidP="0074184D">
            <w:pPr>
              <w:pStyle w:val="BodyText"/>
              <w:spacing w:before="7"/>
              <w:ind w:firstLine="60"/>
              <w:rPr>
                <w:b/>
                <w:bCs/>
              </w:rPr>
            </w:pPr>
            <w:r w:rsidRPr="00931074">
              <w:rPr>
                <w:b/>
                <w:bCs/>
              </w:rPr>
              <w:t xml:space="preserve">Outreach and Communications </w:t>
            </w:r>
          </w:p>
        </w:tc>
        <w:tc>
          <w:tcPr>
            <w:tcW w:w="3685" w:type="dxa"/>
          </w:tcPr>
          <w:p w14:paraId="25B953CC" w14:textId="77777777" w:rsidR="00256DEF" w:rsidRPr="00BD77C8" w:rsidRDefault="00256DEF" w:rsidP="0074184D">
            <w:pPr>
              <w:pStyle w:val="BodyText"/>
              <w:spacing w:before="7"/>
              <w:ind w:firstLine="60"/>
            </w:pPr>
          </w:p>
        </w:tc>
        <w:tc>
          <w:tcPr>
            <w:tcW w:w="9478" w:type="dxa"/>
          </w:tcPr>
          <w:p w14:paraId="51D091E6" w14:textId="77777777" w:rsidR="00256DEF" w:rsidRPr="00BD77C8" w:rsidRDefault="00256DEF" w:rsidP="0074184D">
            <w:pPr>
              <w:pStyle w:val="BodyText"/>
              <w:spacing w:before="7"/>
              <w:ind w:firstLine="60"/>
            </w:pPr>
          </w:p>
        </w:tc>
      </w:tr>
      <w:tr w:rsidR="00AD4728" w:rsidRPr="00BD77C8" w14:paraId="65F0CB47" w14:textId="77777777" w:rsidTr="6493D36F">
        <w:trPr>
          <w:trHeight w:val="413"/>
        </w:trPr>
        <w:tc>
          <w:tcPr>
            <w:tcW w:w="3577" w:type="dxa"/>
          </w:tcPr>
          <w:p w14:paraId="69888A32" w14:textId="77777777" w:rsidR="00AD4728" w:rsidRPr="00931074" w:rsidRDefault="00AD4728" w:rsidP="0074184D">
            <w:pPr>
              <w:pStyle w:val="BodyText"/>
              <w:spacing w:before="7"/>
              <w:ind w:firstLine="60"/>
              <w:rPr>
                <w:b/>
                <w:bCs/>
              </w:rPr>
            </w:pPr>
            <w:r>
              <w:rPr>
                <w:b/>
                <w:bCs/>
              </w:rPr>
              <w:t>Fair Hearings</w:t>
            </w:r>
          </w:p>
        </w:tc>
        <w:tc>
          <w:tcPr>
            <w:tcW w:w="3685" w:type="dxa"/>
          </w:tcPr>
          <w:p w14:paraId="362A8F82" w14:textId="77777777" w:rsidR="00AD4728" w:rsidRPr="00BD77C8" w:rsidRDefault="00AD4728" w:rsidP="0074184D">
            <w:pPr>
              <w:pStyle w:val="BodyText"/>
              <w:spacing w:before="7"/>
              <w:ind w:firstLine="60"/>
            </w:pPr>
          </w:p>
        </w:tc>
        <w:tc>
          <w:tcPr>
            <w:tcW w:w="9478" w:type="dxa"/>
          </w:tcPr>
          <w:p w14:paraId="19D044EC" w14:textId="77777777" w:rsidR="00AD4728" w:rsidRPr="00BD77C8" w:rsidRDefault="00AD4728" w:rsidP="0074184D">
            <w:pPr>
              <w:pStyle w:val="BodyText"/>
              <w:spacing w:before="7"/>
              <w:ind w:firstLine="60"/>
            </w:pPr>
          </w:p>
        </w:tc>
      </w:tr>
      <w:tr w:rsidR="009512C7" w:rsidRPr="00BD77C8" w14:paraId="23E22EAD" w14:textId="77777777" w:rsidTr="6493D36F">
        <w:trPr>
          <w:trHeight w:val="413"/>
        </w:trPr>
        <w:tc>
          <w:tcPr>
            <w:tcW w:w="3577" w:type="dxa"/>
          </w:tcPr>
          <w:p w14:paraId="61B34FD0" w14:textId="77777777" w:rsidR="009512C7" w:rsidRPr="009512C7" w:rsidRDefault="009512C7" w:rsidP="0074184D">
            <w:pPr>
              <w:pStyle w:val="BodyText"/>
              <w:spacing w:before="7"/>
              <w:ind w:firstLine="60"/>
              <w:rPr>
                <w:b/>
                <w:bCs/>
              </w:rPr>
            </w:pPr>
            <w:r>
              <w:rPr>
                <w:b/>
                <w:bCs/>
              </w:rPr>
              <w:lastRenderedPageBreak/>
              <w:t>Other:</w:t>
            </w:r>
          </w:p>
        </w:tc>
        <w:tc>
          <w:tcPr>
            <w:tcW w:w="3685" w:type="dxa"/>
          </w:tcPr>
          <w:p w14:paraId="3709C36B" w14:textId="77777777" w:rsidR="009512C7" w:rsidRPr="00BD77C8" w:rsidRDefault="009512C7" w:rsidP="0074184D">
            <w:pPr>
              <w:pStyle w:val="BodyText"/>
              <w:spacing w:before="7"/>
              <w:ind w:firstLine="60"/>
            </w:pPr>
          </w:p>
        </w:tc>
        <w:tc>
          <w:tcPr>
            <w:tcW w:w="9478" w:type="dxa"/>
          </w:tcPr>
          <w:p w14:paraId="0C9AA615" w14:textId="77777777" w:rsidR="009512C7" w:rsidRPr="00BD77C8" w:rsidRDefault="009512C7" w:rsidP="0074184D">
            <w:pPr>
              <w:pStyle w:val="BodyText"/>
              <w:spacing w:before="7"/>
              <w:ind w:firstLine="60"/>
            </w:pPr>
          </w:p>
        </w:tc>
      </w:tr>
    </w:tbl>
    <w:p w14:paraId="37255B6B" w14:textId="77777777" w:rsidR="00E94310" w:rsidRDefault="00E94310" w:rsidP="00E94310">
      <w:pPr>
        <w:pStyle w:val="ListParagraph"/>
        <w:ind w:left="1080"/>
        <w:rPr>
          <w:rFonts w:asciiTheme="minorHAnsi" w:hAnsiTheme="minorHAnsi" w:cstheme="minorHAnsi"/>
          <w:b/>
          <w:bCs/>
        </w:rPr>
      </w:pPr>
    </w:p>
    <w:p w14:paraId="2F30F708" w14:textId="77777777" w:rsidR="008C1762" w:rsidRDefault="008C1762" w:rsidP="00E94310">
      <w:pPr>
        <w:rPr>
          <w:rFonts w:asciiTheme="majorHAnsi" w:hAnsiTheme="majorHAnsi" w:cstheme="minorHAnsi"/>
          <w:b/>
          <w:bCs/>
          <w:i/>
          <w:iCs/>
          <w:color w:val="365F91" w:themeColor="accent1" w:themeShade="BF"/>
          <w:sz w:val="28"/>
          <w:szCs w:val="28"/>
        </w:rPr>
      </w:pPr>
    </w:p>
    <w:p w14:paraId="0481BB9C" w14:textId="77777777" w:rsidR="00154A30" w:rsidRPr="00985B34" w:rsidRDefault="00985B34" w:rsidP="00DA2575">
      <w:pPr>
        <w:pStyle w:val="ListParagraph"/>
        <w:numPr>
          <w:ilvl w:val="0"/>
          <w:numId w:val="4"/>
        </w:numPr>
        <w:rPr>
          <w:rFonts w:asciiTheme="majorHAnsi" w:hAnsiTheme="majorHAnsi" w:cstheme="minorHAnsi"/>
          <w:b/>
          <w:bCs/>
          <w:i/>
          <w:iCs/>
          <w:color w:val="1F497D" w:themeColor="text2"/>
          <w:sz w:val="24"/>
          <w:szCs w:val="24"/>
        </w:rPr>
      </w:pPr>
      <w:r w:rsidRPr="00985B34">
        <w:rPr>
          <w:rFonts w:asciiTheme="majorHAnsi" w:hAnsiTheme="majorHAnsi" w:cstheme="minorHAnsi"/>
          <w:b/>
          <w:bCs/>
          <w:i/>
          <w:iCs/>
          <w:color w:val="365F91" w:themeColor="accent1" w:themeShade="BF"/>
          <w:sz w:val="28"/>
          <w:szCs w:val="28"/>
        </w:rPr>
        <w:t>Sample</w:t>
      </w:r>
      <w:r w:rsidR="00E96594" w:rsidRPr="00985B34">
        <w:rPr>
          <w:rFonts w:asciiTheme="majorHAnsi" w:hAnsiTheme="majorHAnsi" w:cstheme="minorHAnsi"/>
          <w:b/>
          <w:bCs/>
          <w:i/>
          <w:iCs/>
          <w:color w:val="365F91" w:themeColor="accent1" w:themeShade="BF"/>
          <w:sz w:val="28"/>
          <w:szCs w:val="28"/>
        </w:rPr>
        <w:t xml:space="preserve"> </w:t>
      </w:r>
      <w:r>
        <w:rPr>
          <w:rFonts w:asciiTheme="majorHAnsi" w:hAnsiTheme="majorHAnsi" w:cstheme="minorHAnsi"/>
          <w:b/>
          <w:bCs/>
          <w:i/>
          <w:iCs/>
          <w:color w:val="365F91" w:themeColor="accent1" w:themeShade="BF"/>
          <w:sz w:val="28"/>
          <w:szCs w:val="28"/>
        </w:rPr>
        <w:t>Planning Templates</w:t>
      </w:r>
    </w:p>
    <w:p w14:paraId="00071103" w14:textId="77777777" w:rsidR="008C1762" w:rsidRDefault="008C1762" w:rsidP="00E94310">
      <w:pPr>
        <w:rPr>
          <w:rFonts w:asciiTheme="majorHAnsi" w:hAnsiTheme="majorHAnsi" w:cstheme="minorHAnsi"/>
          <w:b/>
          <w:bCs/>
          <w:i/>
          <w:iCs/>
          <w:color w:val="365F91" w:themeColor="accent1" w:themeShade="BF"/>
          <w:sz w:val="28"/>
          <w:szCs w:val="28"/>
        </w:rPr>
      </w:pPr>
    </w:p>
    <w:p w14:paraId="2A24628E" w14:textId="77777777" w:rsidR="00C462FE" w:rsidRPr="004B7B2B" w:rsidRDefault="00985B34" w:rsidP="00DA2575">
      <w:pPr>
        <w:pStyle w:val="ListParagraph"/>
        <w:numPr>
          <w:ilvl w:val="1"/>
          <w:numId w:val="4"/>
        </w:numPr>
        <w:tabs>
          <w:tab w:val="left" w:pos="720"/>
        </w:tabs>
      </w:pPr>
      <w:r>
        <w:rPr>
          <w:rFonts w:asciiTheme="majorHAnsi" w:hAnsiTheme="majorHAnsi" w:cstheme="minorHAnsi"/>
          <w:b/>
          <w:bCs/>
          <w:i/>
          <w:iCs/>
          <w:color w:val="365F91" w:themeColor="accent1" w:themeShade="BF"/>
          <w:sz w:val="28"/>
          <w:szCs w:val="28"/>
        </w:rPr>
        <w:t xml:space="preserve">Assessment and Approach: </w:t>
      </w:r>
      <w:r w:rsidR="006216F6">
        <w:rPr>
          <w:rFonts w:asciiTheme="majorHAnsi" w:hAnsiTheme="majorHAnsi" w:cstheme="minorHAnsi"/>
          <w:b/>
          <w:bCs/>
          <w:i/>
          <w:iCs/>
          <w:color w:val="365F91" w:themeColor="accent1" w:themeShade="BF"/>
          <w:sz w:val="28"/>
          <w:szCs w:val="28"/>
        </w:rPr>
        <w:t>Processing</w:t>
      </w:r>
      <w:r w:rsidR="006216F6" w:rsidRPr="004B7B2B">
        <w:rPr>
          <w:rFonts w:asciiTheme="majorHAnsi" w:hAnsiTheme="majorHAnsi" w:cstheme="minorHAnsi"/>
          <w:b/>
          <w:bCs/>
          <w:i/>
          <w:iCs/>
          <w:color w:val="365F91" w:themeColor="accent1" w:themeShade="BF"/>
          <w:sz w:val="28"/>
          <w:szCs w:val="28"/>
        </w:rPr>
        <w:t xml:space="preserve"> </w:t>
      </w:r>
      <w:r w:rsidR="00DA15FF" w:rsidRPr="004B7B2B">
        <w:rPr>
          <w:rFonts w:asciiTheme="majorHAnsi" w:hAnsiTheme="majorHAnsi" w:cstheme="minorHAnsi"/>
          <w:b/>
          <w:bCs/>
          <w:i/>
          <w:iCs/>
          <w:color w:val="365F91" w:themeColor="accent1" w:themeShade="BF"/>
          <w:sz w:val="28"/>
          <w:szCs w:val="28"/>
        </w:rPr>
        <w:t>Renewal</w:t>
      </w:r>
      <w:r w:rsidR="00F42303" w:rsidRPr="004B7B2B">
        <w:rPr>
          <w:rFonts w:asciiTheme="majorHAnsi" w:hAnsiTheme="majorHAnsi" w:cstheme="minorHAnsi"/>
          <w:b/>
          <w:bCs/>
          <w:i/>
          <w:iCs/>
          <w:color w:val="365F91" w:themeColor="accent1" w:themeShade="BF"/>
          <w:sz w:val="28"/>
          <w:szCs w:val="28"/>
        </w:rPr>
        <w:t>s</w:t>
      </w:r>
    </w:p>
    <w:p w14:paraId="50E5997C" w14:textId="77777777" w:rsidR="000A623B" w:rsidRDefault="000A623B" w:rsidP="003507AC">
      <w:pPr>
        <w:tabs>
          <w:tab w:val="left" w:pos="810"/>
        </w:tabs>
        <w:ind w:left="720"/>
      </w:pPr>
    </w:p>
    <w:p w14:paraId="0BF368FB" w14:textId="163DDF10" w:rsidR="00A96235" w:rsidRDefault="00DD0FCF" w:rsidP="00D8774E">
      <w:pPr>
        <w:ind w:left="1440"/>
        <w:jc w:val="both"/>
      </w:pPr>
      <w:r w:rsidRPr="00BA5E9D">
        <w:rPr>
          <w:b/>
          <w:bCs/>
        </w:rPr>
        <w:t>CMS Expectations.</w:t>
      </w:r>
      <w:r w:rsidR="00F63739" w:rsidRPr="00BA5E9D">
        <w:rPr>
          <w:b/>
          <w:bCs/>
        </w:rPr>
        <w:t xml:space="preserve"> </w:t>
      </w:r>
      <w:r w:rsidR="00881AB7" w:rsidRPr="003872D2">
        <w:t xml:space="preserve">States may take up to 12 months when the continuous enrollment </w:t>
      </w:r>
      <w:r w:rsidR="00BF44BE">
        <w:t xml:space="preserve">condition </w:t>
      </w:r>
      <w:r w:rsidR="00881AB7" w:rsidRPr="003872D2">
        <w:t xml:space="preserve">ends (“12-month unwinding period”) to initiate renewals in accordance with </w:t>
      </w:r>
      <w:r w:rsidR="00881AB7" w:rsidRPr="00C30A62">
        <w:t xml:space="preserve">42 C.F.R. </w:t>
      </w:r>
      <w:r w:rsidR="00881AB7" w:rsidRPr="00C30A62">
        <w:rPr>
          <w:shd w:val="clear" w:color="auto" w:fill="FFFFFF"/>
        </w:rPr>
        <w:t>§§</w:t>
      </w:r>
      <w:r w:rsidR="00881AB7">
        <w:rPr>
          <w:shd w:val="clear" w:color="auto" w:fill="FFFFFF"/>
        </w:rPr>
        <w:t xml:space="preserve"> </w:t>
      </w:r>
      <w:r w:rsidR="00881AB7" w:rsidRPr="00C30A62">
        <w:t>435.916</w:t>
      </w:r>
      <w:r w:rsidR="00881AB7">
        <w:t xml:space="preserve">, </w:t>
      </w:r>
      <w:r w:rsidR="00881AB7" w:rsidRPr="00C30A62">
        <w:t>457.343</w:t>
      </w:r>
      <w:r w:rsidR="00881AB7">
        <w:t>, and 600.340</w:t>
      </w:r>
      <w:r w:rsidR="00A479BA">
        <w:t>,</w:t>
      </w:r>
      <w:r w:rsidR="00881AB7">
        <w:t xml:space="preserve"> </w:t>
      </w:r>
      <w:r w:rsidR="00881AB7" w:rsidRPr="003872D2">
        <w:t xml:space="preserve">as well as </w:t>
      </w:r>
      <w:r w:rsidR="000F1BD7">
        <w:t xml:space="preserve">to conduct </w:t>
      </w:r>
      <w:r w:rsidR="00881AB7" w:rsidRPr="003872D2">
        <w:t xml:space="preserve">post-enrollment verifications and redeterminations of eligibility due to changes in </w:t>
      </w:r>
      <w:r w:rsidR="003F0304" w:rsidRPr="003872D2">
        <w:t xml:space="preserve">enrollee </w:t>
      </w:r>
      <w:r w:rsidR="00881AB7" w:rsidRPr="003872D2">
        <w:t>circumstances for its total caseload.</w:t>
      </w:r>
      <w:r w:rsidR="00E73D99">
        <w:t xml:space="preserve"> </w:t>
      </w:r>
      <w:r w:rsidR="00CB287A">
        <w:t xml:space="preserve"> While states will be required to initiate renewals for all individuals enrolled within 12 months, the </w:t>
      </w:r>
      <w:r w:rsidR="00DA7F9A">
        <w:t xml:space="preserve">month the </w:t>
      </w:r>
      <w:r w:rsidR="00CB287A">
        <w:t xml:space="preserve">unwinding period </w:t>
      </w:r>
      <w:r w:rsidR="00DA7F9A">
        <w:t xml:space="preserve">begins </w:t>
      </w:r>
      <w:r w:rsidR="00CB287A">
        <w:t xml:space="preserve">may vary by state but is based on the month in which the PHE eventually ends.  </w:t>
      </w:r>
      <w:r w:rsidR="000F1BD7">
        <w:t>States have the option to</w:t>
      </w:r>
      <w:r w:rsidR="00CB287A">
        <w:t xml:space="preserve"> </w:t>
      </w:r>
      <w:r w:rsidR="000F1BD7">
        <w:t xml:space="preserve">initiate renewals up to two months before the end of the month in which the </w:t>
      </w:r>
      <w:r w:rsidR="00CB287A">
        <w:t>PHE</w:t>
      </w:r>
      <w:r w:rsidR="000F1BD7">
        <w:t xml:space="preserve"> ends as long as any associated terminations occur after the continuous enrollment period ends. </w:t>
      </w:r>
      <w:r w:rsidR="00DA7F9A">
        <w:t xml:space="preserve"> </w:t>
      </w:r>
      <w:r w:rsidR="000F1BD7">
        <w:t xml:space="preserve">If a state chooses that option, it’s 12-month unwinding period would begin </w:t>
      </w:r>
      <w:r w:rsidR="00CB287A">
        <w:t xml:space="preserve">the month in which the state </w:t>
      </w:r>
      <w:r w:rsidR="00DA7F9A">
        <w:t>initiates renewals that may result in a termination base</w:t>
      </w:r>
      <w:r w:rsidR="003A03A4">
        <w:t>d</w:t>
      </w:r>
      <w:r w:rsidR="00DA7F9A">
        <w:t xml:space="preserve"> on a determination of ineligibility or due to failure to respond to requested information</w:t>
      </w:r>
      <w:r w:rsidR="000F1BD7">
        <w:t>.</w:t>
      </w:r>
      <w:r w:rsidR="00DA7F9A">
        <w:t xml:space="preserve">  </w:t>
      </w:r>
      <w:r w:rsidR="00881AB7" w:rsidRPr="003872D2">
        <w:t>States</w:t>
      </w:r>
      <w:r w:rsidR="00881AB7" w:rsidRPr="00C30A62">
        <w:t xml:space="preserve"> </w:t>
      </w:r>
      <w:r w:rsidR="00881AB7">
        <w:t xml:space="preserve">that </w:t>
      </w:r>
      <w:r w:rsidR="00881AB7" w:rsidRPr="00C30A62">
        <w:t xml:space="preserve">have </w:t>
      </w:r>
      <w:r w:rsidR="00881AB7">
        <w:t>conducted</w:t>
      </w:r>
      <w:r w:rsidR="00881AB7" w:rsidRPr="00C30A62">
        <w:t xml:space="preserve"> </w:t>
      </w:r>
      <w:r w:rsidR="00881AB7">
        <w:t xml:space="preserve">renewals, but have not terminated Medicaid eligibility for </w:t>
      </w:r>
      <w:r w:rsidR="004E37D3">
        <w:t>enrollees</w:t>
      </w:r>
      <w:r w:rsidR="00881AB7">
        <w:t xml:space="preserve"> who were determined </w:t>
      </w:r>
      <w:r w:rsidR="00BA43B5">
        <w:t>in</w:t>
      </w:r>
      <w:r w:rsidR="00881AB7">
        <w:t xml:space="preserve">eligible or who did not respond to requests for documentation, generally may not terminate coverage for such </w:t>
      </w:r>
      <w:r w:rsidR="004E37D3">
        <w:t>enrollees</w:t>
      </w:r>
      <w:r w:rsidR="00881AB7">
        <w:t xml:space="preserve"> until the state completes a new full renewal during the 12-month unwinding period.</w:t>
      </w:r>
      <w:r w:rsidR="00E73D99">
        <w:t xml:space="preserve"> </w:t>
      </w:r>
      <w:bookmarkStart w:id="2" w:name="_Hlk94892804"/>
      <w:r w:rsidR="00CB0951">
        <w:t xml:space="preserve"> </w:t>
      </w:r>
      <w:r w:rsidR="00881AB7">
        <w:t>While states must initiate all</w:t>
      </w:r>
      <w:r w:rsidR="00881AB7" w:rsidDel="004D49E3">
        <w:t xml:space="preserve"> </w:t>
      </w:r>
      <w:r w:rsidR="00881AB7">
        <w:t xml:space="preserve">pending eligibility actions (including renewals, post-enrollment verifications, and redeterminations based on changes in circumstances) </w:t>
      </w:r>
      <w:r w:rsidR="00A96235">
        <w:t>by the last month of the 12-month unwinding period</w:t>
      </w:r>
      <w:r w:rsidR="00881AB7">
        <w:t xml:space="preserve">, states </w:t>
      </w:r>
      <w:r w:rsidR="00BF44BE">
        <w:t xml:space="preserve">may take an additional two months (14 months total) </w:t>
      </w:r>
      <w:r w:rsidR="00881AB7">
        <w:t xml:space="preserve">to complete all work initiated </w:t>
      </w:r>
      <w:bookmarkEnd w:id="2"/>
      <w:r w:rsidR="00BF44BE">
        <w:t>during the unwinding period</w:t>
      </w:r>
      <w:r w:rsidR="00A96235">
        <w:t>.</w:t>
      </w:r>
      <w:r w:rsidR="00E73D99">
        <w:t xml:space="preserve">  </w:t>
      </w:r>
      <w:r w:rsidR="00A96235">
        <w:t>States are expected to resume timely process</w:t>
      </w:r>
      <w:r w:rsidR="00D62C44">
        <w:t>ing</w:t>
      </w:r>
      <w:r w:rsidR="00A96235">
        <w:t xml:space="preserve"> of renewals initiated after the 12-month unwinding period.</w:t>
      </w:r>
    </w:p>
    <w:p w14:paraId="22293D75" w14:textId="77777777" w:rsidR="0079008E" w:rsidRDefault="0079008E" w:rsidP="00D62C44">
      <w:pPr>
        <w:jc w:val="both"/>
        <w:rPr>
          <w:iCs/>
        </w:rPr>
      </w:pPr>
    </w:p>
    <w:p w14:paraId="3B22CE4B" w14:textId="6A1E7046" w:rsidR="00DD0FCF" w:rsidRDefault="0079008E" w:rsidP="0079008E">
      <w:pPr>
        <w:pStyle w:val="Default"/>
        <w:ind w:left="1440"/>
        <w:rPr>
          <w:rFonts w:asciiTheme="minorHAnsi" w:hAnsiTheme="minorHAnsi" w:cstheme="minorHAnsi"/>
          <w:sz w:val="22"/>
          <w:szCs w:val="22"/>
        </w:rPr>
      </w:pPr>
      <w:r w:rsidRPr="000C6E65">
        <w:rPr>
          <w:rFonts w:asciiTheme="minorHAnsi" w:hAnsiTheme="minorHAnsi" w:cstheme="minorHAnsi"/>
          <w:sz w:val="22"/>
          <w:szCs w:val="22"/>
        </w:rPr>
        <w:t xml:space="preserve">As stated in the </w:t>
      </w:r>
      <w:hyperlink r:id="rId15" w:history="1">
        <w:r w:rsidRPr="000C6E65">
          <w:rPr>
            <w:rStyle w:val="Hyperlink"/>
            <w:rFonts w:asciiTheme="minorHAnsi" w:hAnsiTheme="minorHAnsi" w:cstheme="minorHAnsi"/>
            <w:i/>
            <w:iCs/>
            <w:sz w:val="22"/>
            <w:szCs w:val="22"/>
          </w:rPr>
          <w:t>January 2021 COVID-19 Frequently Asked Questions (FAQs) for State Medicaid and Children’s Health Insurance Program (CHIP) Agencies</w:t>
        </w:r>
      </w:hyperlink>
      <w:r w:rsidRPr="00D62C44">
        <w:rPr>
          <w:rFonts w:asciiTheme="minorHAnsi" w:hAnsiTheme="minorHAnsi" w:cstheme="minorHAnsi"/>
          <w:sz w:val="22"/>
          <w:szCs w:val="22"/>
        </w:rPr>
        <w:t>,</w:t>
      </w:r>
      <w:r w:rsidR="00B75D8C" w:rsidRPr="000C6E65">
        <w:rPr>
          <w:rFonts w:asciiTheme="minorHAnsi" w:hAnsiTheme="minorHAnsi" w:cstheme="minorHAnsi"/>
          <w:bCs/>
          <w:sz w:val="22"/>
          <w:szCs w:val="22"/>
        </w:rPr>
        <w:t xml:space="preserve"> </w:t>
      </w:r>
      <w:r w:rsidRPr="000C6E65">
        <w:rPr>
          <w:rFonts w:asciiTheme="minorHAnsi" w:hAnsiTheme="minorHAnsi" w:cstheme="minorHAnsi"/>
          <w:bCs/>
          <w:sz w:val="22"/>
          <w:szCs w:val="22"/>
        </w:rPr>
        <w:t>states are not permitted under the CHIP state plan to extend eligibility periods for separate CHIP enrollees who have been determined ineligible for coverage.</w:t>
      </w:r>
      <w:r w:rsidRPr="000C6E65">
        <w:rPr>
          <w:rFonts w:asciiTheme="minorHAnsi" w:hAnsiTheme="minorHAnsi" w:cstheme="minorHAnsi"/>
          <w:sz w:val="22"/>
          <w:szCs w:val="22"/>
        </w:rPr>
        <w:t xml:space="preserve"> </w:t>
      </w:r>
      <w:r w:rsidR="00CB0951">
        <w:rPr>
          <w:rFonts w:asciiTheme="minorHAnsi" w:hAnsiTheme="minorHAnsi" w:cstheme="minorHAnsi"/>
          <w:sz w:val="22"/>
          <w:szCs w:val="22"/>
        </w:rPr>
        <w:t xml:space="preserve"> </w:t>
      </w:r>
      <w:r w:rsidRPr="000C6E65">
        <w:rPr>
          <w:rFonts w:asciiTheme="minorHAnsi" w:hAnsiTheme="minorHAnsi" w:cstheme="minorHAnsi"/>
          <w:sz w:val="22"/>
          <w:szCs w:val="22"/>
        </w:rPr>
        <w:t xml:space="preserve">If a state receives information from an enrollee, processes that information, and determines the individual ineligible for its separate CHIP, the state must process the termination and transfer the individual to Medicaid or the Marketplace, in accordance with 42 C.F.R. § 457.350(b) and (i). </w:t>
      </w:r>
    </w:p>
    <w:p w14:paraId="089016E3" w14:textId="77777777" w:rsidR="00AF3E19" w:rsidRPr="000C6E65" w:rsidRDefault="00AF3E19" w:rsidP="0079008E">
      <w:pPr>
        <w:pStyle w:val="Default"/>
        <w:ind w:left="1440"/>
        <w:rPr>
          <w:rFonts w:asciiTheme="minorHAnsi" w:hAnsiTheme="minorHAnsi" w:cstheme="minorHAnsi"/>
          <w:sz w:val="22"/>
          <w:szCs w:val="22"/>
        </w:rPr>
      </w:pPr>
    </w:p>
    <w:p w14:paraId="20B010D6" w14:textId="77777777" w:rsidR="001334C0" w:rsidRDefault="00DD0FCF" w:rsidP="00985B34">
      <w:pPr>
        <w:tabs>
          <w:tab w:val="left" w:pos="810"/>
        </w:tabs>
        <w:ind w:left="1440"/>
        <w:rPr>
          <w:rFonts w:asciiTheme="minorHAnsi" w:hAnsiTheme="minorHAnsi" w:cstheme="minorHAnsi"/>
        </w:rPr>
      </w:pPr>
      <w:r w:rsidRPr="000C6E65">
        <w:rPr>
          <w:rFonts w:asciiTheme="minorHAnsi" w:hAnsiTheme="minorHAnsi" w:cstheme="minorHAnsi"/>
          <w:b/>
          <w:bCs/>
        </w:rPr>
        <w:t xml:space="preserve">Assessment and Approach. </w:t>
      </w:r>
      <w:r w:rsidR="00335339" w:rsidRPr="000C6E65">
        <w:rPr>
          <w:rFonts w:asciiTheme="minorHAnsi" w:hAnsiTheme="minorHAnsi" w:cstheme="minorHAnsi"/>
        </w:rPr>
        <w:t xml:space="preserve">Each state’s assessment and approach should be customized for the state environment. </w:t>
      </w:r>
      <w:r w:rsidR="00DD05D6" w:rsidRPr="000C6E65">
        <w:rPr>
          <w:rFonts w:asciiTheme="minorHAnsi" w:hAnsiTheme="minorHAnsi" w:cstheme="minorHAnsi"/>
        </w:rPr>
        <w:t>Informed by the data provided in Section I</w:t>
      </w:r>
      <w:r w:rsidRPr="000C6E65">
        <w:rPr>
          <w:rFonts w:asciiTheme="minorHAnsi" w:hAnsiTheme="minorHAnsi" w:cstheme="minorHAnsi"/>
        </w:rPr>
        <w:t>.A.</w:t>
      </w:r>
      <w:r w:rsidR="00DD05D6" w:rsidRPr="000C6E65">
        <w:rPr>
          <w:rFonts w:asciiTheme="minorHAnsi" w:hAnsiTheme="minorHAnsi" w:cstheme="minorHAnsi"/>
        </w:rPr>
        <w:t xml:space="preserve">, </w:t>
      </w:r>
      <w:r w:rsidR="004B03B3" w:rsidRPr="000C6E65">
        <w:rPr>
          <w:rFonts w:asciiTheme="minorHAnsi" w:hAnsiTheme="minorHAnsi" w:cstheme="minorHAnsi"/>
        </w:rPr>
        <w:t xml:space="preserve">states should: </w:t>
      </w:r>
    </w:p>
    <w:p w14:paraId="384F783D" w14:textId="77777777" w:rsidR="001334C0" w:rsidRDefault="001334C0" w:rsidP="00985B34">
      <w:pPr>
        <w:tabs>
          <w:tab w:val="left" w:pos="810"/>
        </w:tabs>
        <w:ind w:left="1440"/>
        <w:rPr>
          <w:rFonts w:asciiTheme="minorHAnsi" w:hAnsiTheme="minorHAnsi" w:cstheme="minorHAnsi"/>
          <w:b/>
          <w:bCs/>
        </w:rPr>
      </w:pPr>
    </w:p>
    <w:p w14:paraId="4150E990" w14:textId="7F29D4E3" w:rsidR="00B412EC" w:rsidRPr="000C6E65" w:rsidRDefault="004B03B3" w:rsidP="00985B34">
      <w:pPr>
        <w:tabs>
          <w:tab w:val="left" w:pos="810"/>
        </w:tabs>
        <w:ind w:left="1440"/>
        <w:rPr>
          <w:rFonts w:asciiTheme="minorHAnsi" w:hAnsiTheme="minorHAnsi" w:cstheme="minorHAnsi"/>
        </w:rPr>
      </w:pPr>
      <w:r w:rsidRPr="00D62C44">
        <w:rPr>
          <w:rFonts w:asciiTheme="minorHAnsi" w:hAnsiTheme="minorHAnsi" w:cstheme="minorHAnsi"/>
          <w:b/>
          <w:bCs/>
        </w:rPr>
        <w:lastRenderedPageBreak/>
        <w:t>1</w:t>
      </w:r>
      <w:r w:rsidRPr="000C6E65">
        <w:rPr>
          <w:rFonts w:asciiTheme="minorHAnsi" w:hAnsiTheme="minorHAnsi" w:cstheme="minorHAnsi"/>
        </w:rPr>
        <w:t>. A</w:t>
      </w:r>
      <w:r w:rsidR="005B0E33" w:rsidRPr="000C6E65">
        <w:rPr>
          <w:rFonts w:asciiTheme="minorHAnsi" w:hAnsiTheme="minorHAnsi" w:cstheme="minorHAnsi"/>
        </w:rPr>
        <w:t xml:space="preserve">ssess the </w:t>
      </w:r>
      <w:r w:rsidR="006216F6" w:rsidRPr="000C6E65">
        <w:rPr>
          <w:rFonts w:asciiTheme="minorHAnsi" w:hAnsiTheme="minorHAnsi" w:cstheme="minorHAnsi"/>
        </w:rPr>
        <w:t>volume of renewals that the state will need to distribute and process</w:t>
      </w:r>
      <w:r w:rsidR="004B1604" w:rsidRPr="000C6E65">
        <w:rPr>
          <w:rFonts w:asciiTheme="minorHAnsi" w:hAnsiTheme="minorHAnsi" w:cstheme="minorHAnsi"/>
        </w:rPr>
        <w:t>,</w:t>
      </w:r>
      <w:r w:rsidR="006216F6" w:rsidRPr="000C6E65">
        <w:rPr>
          <w:rFonts w:asciiTheme="minorHAnsi" w:hAnsiTheme="minorHAnsi" w:cstheme="minorHAnsi"/>
        </w:rPr>
        <w:t xml:space="preserve"> </w:t>
      </w:r>
      <w:r w:rsidR="00335339" w:rsidRPr="000C6E65">
        <w:rPr>
          <w:rFonts w:asciiTheme="minorHAnsi" w:hAnsiTheme="minorHAnsi" w:cstheme="minorHAnsi"/>
        </w:rPr>
        <w:t>and consider factors such as the following</w:t>
      </w:r>
      <w:r w:rsidR="00B412EC" w:rsidRPr="000C6E65">
        <w:rPr>
          <w:rFonts w:asciiTheme="minorHAnsi" w:hAnsiTheme="minorHAnsi" w:cstheme="minorHAnsi"/>
        </w:rPr>
        <w:t xml:space="preserve"> in identifying and </w:t>
      </w:r>
      <w:r w:rsidR="009D7A8A" w:rsidRPr="000C6E65">
        <w:rPr>
          <w:rFonts w:asciiTheme="minorHAnsi" w:hAnsiTheme="minorHAnsi" w:cstheme="minorHAnsi"/>
        </w:rPr>
        <w:t>staging</w:t>
      </w:r>
      <w:r w:rsidR="00B412EC" w:rsidRPr="000C6E65">
        <w:rPr>
          <w:rFonts w:asciiTheme="minorHAnsi" w:hAnsiTheme="minorHAnsi" w:cstheme="minorHAnsi"/>
        </w:rPr>
        <w:t xml:space="preserve"> population groups for action</w:t>
      </w:r>
      <w:r w:rsidR="00335339" w:rsidRPr="000C6E65">
        <w:rPr>
          <w:rFonts w:asciiTheme="minorHAnsi" w:hAnsiTheme="minorHAnsi" w:cstheme="minorHAnsi"/>
        </w:rPr>
        <w:t>s</w:t>
      </w:r>
      <w:r w:rsidR="00DF4DDA">
        <w:rPr>
          <w:rStyle w:val="FootnoteReference"/>
          <w:rFonts w:asciiTheme="minorHAnsi" w:hAnsiTheme="minorHAnsi" w:cstheme="minorHAnsi"/>
        </w:rPr>
        <w:footnoteReference w:id="5"/>
      </w:r>
      <w:r w:rsidR="00B412EC" w:rsidRPr="000C6E65">
        <w:rPr>
          <w:rFonts w:asciiTheme="minorHAnsi" w:hAnsiTheme="minorHAnsi" w:cstheme="minorHAnsi"/>
        </w:rPr>
        <w:t>:</w:t>
      </w:r>
    </w:p>
    <w:p w14:paraId="581D1CBE" w14:textId="571E26AC" w:rsidR="00471E59" w:rsidRDefault="00471E59" w:rsidP="00DA2575">
      <w:pPr>
        <w:pStyle w:val="ListParagraph"/>
        <w:numPr>
          <w:ilvl w:val="0"/>
          <w:numId w:val="16"/>
        </w:numPr>
        <w:tabs>
          <w:tab w:val="left" w:pos="810"/>
        </w:tabs>
        <w:ind w:left="2208"/>
      </w:pPr>
      <w:r>
        <w:t xml:space="preserve">share of renewals </w:t>
      </w:r>
      <w:r w:rsidR="00190463">
        <w:t>state has been able to complete</w:t>
      </w:r>
      <w:r>
        <w:t>;</w:t>
      </w:r>
    </w:p>
    <w:p w14:paraId="6FE48049" w14:textId="77777777" w:rsidR="00AE66E3" w:rsidRDefault="00471E59" w:rsidP="00DA2575">
      <w:pPr>
        <w:pStyle w:val="ListParagraph"/>
        <w:numPr>
          <w:ilvl w:val="0"/>
          <w:numId w:val="16"/>
        </w:numPr>
        <w:tabs>
          <w:tab w:val="left" w:pos="810"/>
        </w:tabs>
        <w:ind w:left="2208"/>
      </w:pPr>
      <w:r>
        <w:t xml:space="preserve">length of time renewals </w:t>
      </w:r>
      <w:proofErr w:type="gramStart"/>
      <w:r>
        <w:t>have</w:t>
      </w:r>
      <w:proofErr w:type="gramEnd"/>
      <w:r>
        <w:t xml:space="preserve"> been pending; </w:t>
      </w:r>
    </w:p>
    <w:p w14:paraId="2C1A5380" w14:textId="77777777" w:rsidR="00471E59" w:rsidRDefault="00471E59" w:rsidP="00DA2575">
      <w:pPr>
        <w:pStyle w:val="ListParagraph"/>
        <w:numPr>
          <w:ilvl w:val="0"/>
          <w:numId w:val="16"/>
        </w:numPr>
        <w:tabs>
          <w:tab w:val="left" w:pos="810"/>
        </w:tabs>
        <w:ind w:left="2208"/>
      </w:pPr>
      <w:r>
        <w:t>which populations may have eligibility that tends to be stable (e.g., children, individuals dually eligible for Medicaid and Medicare);</w:t>
      </w:r>
    </w:p>
    <w:p w14:paraId="09022D65" w14:textId="77777777" w:rsidR="00471E59" w:rsidRDefault="00471E59" w:rsidP="00DA2575">
      <w:pPr>
        <w:pStyle w:val="ListParagraph"/>
        <w:numPr>
          <w:ilvl w:val="0"/>
          <w:numId w:val="16"/>
        </w:numPr>
        <w:tabs>
          <w:tab w:val="left" w:pos="810"/>
        </w:tabs>
        <w:ind w:left="2208"/>
      </w:pPr>
      <w:r>
        <w:t xml:space="preserve">which populations may be particularly vulnerable if they experience a loss of coverage–such as </w:t>
      </w:r>
      <w:r w:rsidRPr="005C0F08">
        <w:t>those who have ongoing health care need</w:t>
      </w:r>
      <w:r w:rsidRPr="00285D9B">
        <w:t>s</w:t>
      </w:r>
      <w:r>
        <w:t xml:space="preserve"> (</w:t>
      </w:r>
      <w:r w:rsidRPr="00285D9B">
        <w:t>e.g., people with disabilities, people who are pregnant)</w:t>
      </w:r>
      <w:r>
        <w:t xml:space="preserve">; </w:t>
      </w:r>
    </w:p>
    <w:p w14:paraId="339431A4" w14:textId="77777777" w:rsidR="00471E59" w:rsidRDefault="00471E59" w:rsidP="00DA2575">
      <w:pPr>
        <w:pStyle w:val="ListParagraph"/>
        <w:numPr>
          <w:ilvl w:val="0"/>
          <w:numId w:val="16"/>
        </w:numPr>
        <w:tabs>
          <w:tab w:val="left" w:pos="810"/>
        </w:tabs>
        <w:ind w:left="2208"/>
      </w:pPr>
      <w:r>
        <w:t>which populations are enrolled in SNAP or other integrated benefit programs, for whom the state may be able to align renewals and recertifications; and</w:t>
      </w:r>
    </w:p>
    <w:p w14:paraId="57413206" w14:textId="77777777" w:rsidR="00471E59" w:rsidRDefault="00471E59" w:rsidP="00DA2575">
      <w:pPr>
        <w:pStyle w:val="ListParagraph"/>
        <w:numPr>
          <w:ilvl w:val="0"/>
          <w:numId w:val="16"/>
        </w:numPr>
        <w:tabs>
          <w:tab w:val="left" w:pos="810"/>
        </w:tabs>
        <w:ind w:left="2208"/>
      </w:pPr>
      <w:r>
        <w:t xml:space="preserve">which </w:t>
      </w:r>
      <w:r w:rsidRPr="005C0F08">
        <w:t xml:space="preserve">populations are likely to no longer be eligible for Medicaid coverage </w:t>
      </w:r>
      <w:r w:rsidRPr="00285D9B">
        <w:t>(e.g., individuals aging out of eligibility group, individuals who become eligible for Medicare, individuals who gained eligibility due to use of a temporary eligibility flexibility)</w:t>
      </w:r>
      <w:r>
        <w:t xml:space="preserve">. </w:t>
      </w:r>
    </w:p>
    <w:p w14:paraId="7B28FB06" w14:textId="77777777" w:rsidR="005B0E33" w:rsidRDefault="005B0E33" w:rsidP="00AE66E3">
      <w:pPr>
        <w:tabs>
          <w:tab w:val="left" w:pos="810"/>
        </w:tabs>
      </w:pPr>
    </w:p>
    <w:p w14:paraId="6E331621" w14:textId="5BC47FD2" w:rsidR="004B03B3" w:rsidRDefault="004B03B3" w:rsidP="00985B34">
      <w:pPr>
        <w:tabs>
          <w:tab w:val="left" w:pos="810"/>
        </w:tabs>
        <w:ind w:left="1440"/>
      </w:pPr>
      <w:r w:rsidRPr="00D62C44">
        <w:rPr>
          <w:b/>
          <w:bCs/>
        </w:rPr>
        <w:t>2</w:t>
      </w:r>
      <w:r>
        <w:t xml:space="preserve">. </w:t>
      </w:r>
      <w:r w:rsidR="00B366DA">
        <w:t>C</w:t>
      </w:r>
      <w:r w:rsidR="00B27502">
        <w:t xml:space="preserve">onsider </w:t>
      </w:r>
      <w:r w:rsidR="00B366DA">
        <w:t>t</w:t>
      </w:r>
      <w:r w:rsidR="00B27502">
        <w:t>he</w:t>
      </w:r>
      <w:r w:rsidR="007131AA">
        <w:t xml:space="preserve"> potential policy changes</w:t>
      </w:r>
      <w:r w:rsidR="00D62C44">
        <w:t xml:space="preserve"> that may help</w:t>
      </w:r>
      <w:r w:rsidR="007131AA">
        <w:t xml:space="preserve"> to facilitate renewal</w:t>
      </w:r>
      <w:r w:rsidR="00D62C44">
        <w:t xml:space="preserve">s, </w:t>
      </w:r>
      <w:r w:rsidR="007131AA">
        <w:t>maintain coverage continuity</w:t>
      </w:r>
      <w:r w:rsidR="00D62C44">
        <w:t>,</w:t>
      </w:r>
      <w:r w:rsidR="00B366DA">
        <w:t xml:space="preserve"> and assist with staging renewals for workload management. </w:t>
      </w:r>
    </w:p>
    <w:p w14:paraId="42262818" w14:textId="77777777" w:rsidR="00AF3E19" w:rsidRDefault="00AF3E19" w:rsidP="00985B34">
      <w:pPr>
        <w:tabs>
          <w:tab w:val="left" w:pos="810"/>
        </w:tabs>
        <w:ind w:left="1440"/>
      </w:pPr>
    </w:p>
    <w:p w14:paraId="120B8D13" w14:textId="332D0894" w:rsidR="00786BD8" w:rsidRDefault="004B03B3" w:rsidP="00C938B9">
      <w:pPr>
        <w:tabs>
          <w:tab w:val="left" w:pos="810"/>
        </w:tabs>
        <w:ind w:left="1440"/>
      </w:pPr>
      <w:r w:rsidRPr="00D62C44">
        <w:rPr>
          <w:b/>
          <w:bCs/>
        </w:rPr>
        <w:t>3</w:t>
      </w:r>
      <w:r>
        <w:t xml:space="preserve">. </w:t>
      </w:r>
      <w:r w:rsidR="00B366DA">
        <w:t xml:space="preserve">Refer to resources </w:t>
      </w:r>
      <w:r w:rsidR="00526362">
        <w:t xml:space="preserve">in </w:t>
      </w:r>
      <w:r w:rsidR="00526362" w:rsidRPr="00D62C44">
        <w:rPr>
          <w:i/>
          <w:iCs/>
        </w:rPr>
        <w:t>Appendix A</w:t>
      </w:r>
      <w:r w:rsidR="00526362">
        <w:t xml:space="preserve"> </w:t>
      </w:r>
      <w:r w:rsidR="00B366DA">
        <w:t>for p</w:t>
      </w:r>
      <w:r w:rsidR="002F4DA6">
        <w:t xml:space="preserve">otential policy changes in the </w:t>
      </w:r>
      <w:hyperlink r:id="rId16" w:history="1">
        <w:r w:rsidR="002F4DA6" w:rsidRPr="00D62C44">
          <w:rPr>
            <w:rStyle w:val="Hyperlink"/>
            <w:i/>
            <w:iCs/>
          </w:rPr>
          <w:t>December 2020 SHO #20-004</w:t>
        </w:r>
        <w:r w:rsidR="006931F8" w:rsidRPr="006931F8">
          <w:rPr>
            <w:rStyle w:val="Hyperlink"/>
            <w:i/>
            <w:iCs/>
          </w:rPr>
          <w:t>: Planning for the Resumption of Normal State Medicaid, Children’s Health Insurance Program (CHIP), and Basic Health Program (BHP) Operations Upon Conclusion of the COVID-19 Public Health Emergency</w:t>
        </w:r>
      </w:hyperlink>
      <w:r w:rsidR="00786BD8">
        <w:rPr>
          <w:i/>
          <w:iCs/>
        </w:rPr>
        <w:t>,</w:t>
      </w:r>
      <w:r w:rsidR="00786BD8" w:rsidRPr="00786BD8">
        <w:rPr>
          <w:rStyle w:val="Hyperlink"/>
          <w:color w:val="auto"/>
          <w:u w:val="none"/>
        </w:rPr>
        <w:t xml:space="preserve"> </w:t>
      </w:r>
      <w:r w:rsidR="00786BD8" w:rsidRPr="00F3538A">
        <w:rPr>
          <w:rStyle w:val="Hyperlink"/>
          <w:color w:val="auto"/>
          <w:u w:val="none"/>
        </w:rPr>
        <w:t xml:space="preserve">the </w:t>
      </w:r>
      <w:hyperlink r:id="rId17" w:history="1">
        <w:r w:rsidR="00786BD8" w:rsidRPr="00E137BE">
          <w:rPr>
            <w:rStyle w:val="Hyperlink"/>
            <w:i/>
            <w:iCs/>
          </w:rPr>
          <w:t xml:space="preserve">August 2021 SHO #21-002: Updated Guidance Related to Planning for the Resumption of Normal State Medicaid, </w:t>
        </w:r>
        <w:r w:rsidR="00786BD8">
          <w:rPr>
            <w:rStyle w:val="Hyperlink"/>
            <w:i/>
            <w:iCs/>
          </w:rPr>
          <w:t>Children’s Health Insurance Program (</w:t>
        </w:r>
        <w:r w:rsidR="00786BD8" w:rsidRPr="00E137BE">
          <w:rPr>
            <w:rStyle w:val="Hyperlink"/>
            <w:i/>
            <w:iCs/>
          </w:rPr>
          <w:t>CHIP</w:t>
        </w:r>
        <w:r w:rsidR="00786BD8">
          <w:rPr>
            <w:rStyle w:val="Hyperlink"/>
            <w:i/>
            <w:iCs/>
          </w:rPr>
          <w:t>)</w:t>
        </w:r>
        <w:r w:rsidR="00786BD8" w:rsidRPr="00E137BE">
          <w:rPr>
            <w:rStyle w:val="Hyperlink"/>
            <w:i/>
            <w:iCs/>
          </w:rPr>
          <w:t>, and</w:t>
        </w:r>
        <w:r w:rsidR="00786BD8">
          <w:rPr>
            <w:rStyle w:val="Hyperlink"/>
            <w:i/>
            <w:iCs/>
          </w:rPr>
          <w:t xml:space="preserve"> Basic Health Program (</w:t>
        </w:r>
        <w:r w:rsidR="00786BD8" w:rsidRPr="00E137BE">
          <w:rPr>
            <w:rStyle w:val="Hyperlink"/>
            <w:i/>
            <w:iCs/>
          </w:rPr>
          <w:t>BHP</w:t>
        </w:r>
        <w:r w:rsidR="00786BD8">
          <w:rPr>
            <w:rStyle w:val="Hyperlink"/>
            <w:i/>
            <w:iCs/>
          </w:rPr>
          <w:t>)</w:t>
        </w:r>
        <w:r w:rsidR="00786BD8" w:rsidRPr="00E137BE">
          <w:rPr>
            <w:rStyle w:val="Hyperlink"/>
            <w:i/>
            <w:iCs/>
          </w:rPr>
          <w:t xml:space="preserve"> Operations Upon Conclusion of the COVID-19 Public Health Emergency</w:t>
        </w:r>
      </w:hyperlink>
      <w:r w:rsidR="00786BD8" w:rsidRPr="00F3538A">
        <w:rPr>
          <w:rStyle w:val="Hyperlink"/>
          <w:u w:val="none"/>
        </w:rPr>
        <w:t xml:space="preserve">, </w:t>
      </w:r>
      <w:r w:rsidR="00786BD8">
        <w:t xml:space="preserve">the </w:t>
      </w:r>
      <w:hyperlink r:id="rId18" w:history="1">
        <w:r w:rsidR="00786BD8" w:rsidRPr="00F3538A">
          <w:rPr>
            <w:rStyle w:val="Hyperlink"/>
            <w:i/>
            <w:iCs/>
          </w:rPr>
          <w:t>November 2021 Strategies States and the U.S. Territories Can Adopt to Maintain Coverage of Eligible Individuals as They Return to Normal Operations</w:t>
        </w:r>
      </w:hyperlink>
      <w:r w:rsidR="00786BD8">
        <w:t xml:space="preserve">, </w:t>
      </w:r>
      <w:r w:rsidR="00D62C44">
        <w:t xml:space="preserve">and </w:t>
      </w:r>
      <w:r w:rsidR="00786BD8">
        <w:t>the</w:t>
      </w:r>
      <w:r w:rsidR="00786BD8" w:rsidRPr="00F3538A">
        <w:rPr>
          <w:i/>
          <w:iCs/>
        </w:rPr>
        <w:t xml:space="preserve"> </w:t>
      </w:r>
      <w:hyperlink r:id="rId19" w:history="1">
        <w:r w:rsidR="00BF44BE" w:rsidRPr="00E07F9D">
          <w:rPr>
            <w:rStyle w:val="Hyperlink"/>
            <w:i/>
            <w:iCs/>
          </w:rPr>
          <w:t xml:space="preserve">March 2022 </w:t>
        </w:r>
        <w:r w:rsidR="00786BD8" w:rsidRPr="00E07F9D">
          <w:rPr>
            <w:rStyle w:val="Hyperlink"/>
            <w:i/>
            <w:iCs/>
          </w:rPr>
          <w:t>SHO #22-</w:t>
        </w:r>
        <w:r w:rsidR="00BF44BE" w:rsidRPr="00E07F9D">
          <w:rPr>
            <w:rStyle w:val="Hyperlink"/>
            <w:i/>
            <w:iCs/>
          </w:rPr>
          <w:t>001</w:t>
        </w:r>
        <w:r w:rsidR="00786BD8" w:rsidRPr="00E07F9D">
          <w:rPr>
            <w:rStyle w:val="Hyperlink"/>
            <w:i/>
            <w:iCs/>
          </w:rPr>
          <w:t xml:space="preserve">: </w:t>
        </w:r>
        <w:r w:rsidR="00786BD8" w:rsidRPr="00E07F9D">
          <w:rPr>
            <w:rStyle w:val="Hyperlink"/>
            <w:i/>
          </w:rPr>
          <w:t>Promoting Continuity of Coverage and Distributing Eligibility and Enrollment Workload in Medicaid, the Children’s Health Insurance Program (CHIP), and Basic Health Program (BHP) Upon Conclusion of the COVID-19 Public Health Emergency</w:t>
        </w:r>
      </w:hyperlink>
      <w:r w:rsidR="00786BD8" w:rsidRPr="00E07F9D">
        <w:t>.</w:t>
      </w:r>
    </w:p>
    <w:p w14:paraId="52D8C4E4" w14:textId="77777777" w:rsidR="00AF3E19" w:rsidRDefault="00AF3E19" w:rsidP="00985B34">
      <w:pPr>
        <w:tabs>
          <w:tab w:val="left" w:pos="810"/>
        </w:tabs>
        <w:ind w:left="1440"/>
      </w:pPr>
    </w:p>
    <w:p w14:paraId="3F9AB3AC" w14:textId="4CDCEF65" w:rsidR="00B27502" w:rsidRDefault="004B03B3" w:rsidP="00985B34">
      <w:pPr>
        <w:tabs>
          <w:tab w:val="left" w:pos="810"/>
        </w:tabs>
        <w:ind w:left="1440"/>
      </w:pPr>
      <w:r w:rsidRPr="00D62C44">
        <w:rPr>
          <w:b/>
          <w:bCs/>
        </w:rPr>
        <w:t>4</w:t>
      </w:r>
      <w:r>
        <w:t xml:space="preserve">. </w:t>
      </w:r>
      <w:r w:rsidR="00B366DA">
        <w:t>Identify the associated operational and systems changes and summarize the state approach and timing.</w:t>
      </w:r>
      <w:r w:rsidR="004459A6">
        <w:t xml:space="preserve"> Example rows are provided below.</w:t>
      </w:r>
    </w:p>
    <w:p w14:paraId="2CEBA24E" w14:textId="77777777" w:rsidR="00310E79" w:rsidRPr="00310E79" w:rsidRDefault="00310E79" w:rsidP="00985B34">
      <w:pPr>
        <w:ind w:left="720" w:firstLine="720"/>
        <w:rPr>
          <w:rFonts w:asciiTheme="minorHAnsi" w:hAnsiTheme="minorHAnsi" w:cstheme="minorHAnsi"/>
        </w:rPr>
      </w:pPr>
    </w:p>
    <w:tbl>
      <w:tblPr>
        <w:tblStyle w:val="TableGrid"/>
        <w:tblpPr w:leftFromText="180" w:rightFromText="180" w:vertAnchor="text" w:horzAnchor="page" w:tblpX="2326" w:tblpY="158"/>
        <w:tblOverlap w:val="never"/>
        <w:tblW w:w="5000" w:type="pct"/>
        <w:tblLook w:val="04A0" w:firstRow="1" w:lastRow="0" w:firstColumn="1" w:lastColumn="0" w:noHBand="0" w:noVBand="1"/>
      </w:tblPr>
      <w:tblGrid>
        <w:gridCol w:w="3167"/>
        <w:gridCol w:w="2421"/>
        <w:gridCol w:w="3858"/>
        <w:gridCol w:w="2698"/>
        <w:gridCol w:w="3292"/>
        <w:gridCol w:w="1834"/>
      </w:tblGrid>
      <w:tr w:rsidR="00DC712A" w:rsidRPr="00D42F62" w14:paraId="41F05AA3" w14:textId="77777777" w:rsidTr="0074275D">
        <w:trPr>
          <w:trHeight w:val="8"/>
          <w:tblHeader/>
        </w:trPr>
        <w:tc>
          <w:tcPr>
            <w:tcW w:w="1618" w:type="pct"/>
            <w:gridSpan w:val="2"/>
            <w:shd w:val="clear" w:color="auto" w:fill="C6D9F1" w:themeFill="text2" w:themeFillTint="33"/>
            <w:vAlign w:val="bottom"/>
          </w:tcPr>
          <w:p w14:paraId="66BE557D" w14:textId="77777777" w:rsidR="00DC712A" w:rsidRPr="00D42F62" w:rsidRDefault="00DC712A" w:rsidP="00DC712A">
            <w:pPr>
              <w:pStyle w:val="bodytextcontinued0"/>
              <w:spacing w:after="0"/>
              <w:jc w:val="center"/>
              <w:rPr>
                <w:rFonts w:cstheme="minorHAnsi"/>
                <w:b/>
                <w:i w:val="0"/>
                <w:sz w:val="22"/>
              </w:rPr>
            </w:pPr>
            <w:bookmarkStart w:id="3" w:name="_Hlk83398855"/>
            <w:bookmarkStart w:id="4" w:name="_Hlk83398890"/>
            <w:r w:rsidRPr="00D42F62">
              <w:rPr>
                <w:rFonts w:cstheme="minorHAnsi"/>
                <w:b/>
                <w:i w:val="0"/>
                <w:sz w:val="22"/>
              </w:rPr>
              <w:lastRenderedPageBreak/>
              <w:t>Assessment</w:t>
            </w:r>
          </w:p>
        </w:tc>
        <w:tc>
          <w:tcPr>
            <w:tcW w:w="3382" w:type="pct"/>
            <w:gridSpan w:val="4"/>
            <w:shd w:val="clear" w:color="auto" w:fill="1F497D" w:themeFill="text2"/>
          </w:tcPr>
          <w:p w14:paraId="2EE27D5E" w14:textId="77777777" w:rsidR="00DC712A" w:rsidRPr="00D42F62" w:rsidRDefault="00DC712A" w:rsidP="00DC712A">
            <w:pPr>
              <w:pStyle w:val="bodytextcontinued0"/>
              <w:spacing w:after="0"/>
              <w:ind w:right="296"/>
              <w:jc w:val="center"/>
              <w:rPr>
                <w:rFonts w:cstheme="minorHAnsi"/>
                <w:b/>
                <w:i w:val="0"/>
                <w:color w:val="FFFFFF" w:themeColor="background1"/>
                <w:sz w:val="22"/>
              </w:rPr>
            </w:pPr>
            <w:r w:rsidRPr="003872D2">
              <w:rPr>
                <w:b/>
                <w:bCs/>
                <w:i w:val="0"/>
                <w:color w:val="FFFFFF" w:themeColor="background1"/>
                <w:sz w:val="22"/>
              </w:rPr>
              <w:t>Approach</w:t>
            </w:r>
          </w:p>
        </w:tc>
      </w:tr>
      <w:bookmarkEnd w:id="3"/>
      <w:tr w:rsidR="007131AA" w:rsidRPr="00D42F62" w14:paraId="441C9343" w14:textId="77777777" w:rsidTr="0074275D">
        <w:trPr>
          <w:trHeight w:val="101"/>
          <w:tblHeader/>
        </w:trPr>
        <w:tc>
          <w:tcPr>
            <w:tcW w:w="917" w:type="pct"/>
            <w:shd w:val="clear" w:color="auto" w:fill="C6D9F1" w:themeFill="text2" w:themeFillTint="33"/>
            <w:vAlign w:val="bottom"/>
          </w:tcPr>
          <w:p w14:paraId="3CD1F0BD" w14:textId="77777777" w:rsidR="00DC712A" w:rsidRPr="00D42F62" w:rsidRDefault="00DC712A" w:rsidP="00DC712A">
            <w:pPr>
              <w:pStyle w:val="bodytextcontinued0"/>
              <w:spacing w:after="0"/>
              <w:jc w:val="center"/>
              <w:rPr>
                <w:rFonts w:cstheme="minorHAnsi"/>
                <w:b/>
                <w:i w:val="0"/>
                <w:sz w:val="22"/>
              </w:rPr>
            </w:pPr>
            <w:r w:rsidRPr="00D42F62">
              <w:rPr>
                <w:rFonts w:cstheme="minorHAnsi"/>
                <w:b/>
                <w:i w:val="0"/>
                <w:sz w:val="22"/>
              </w:rPr>
              <w:t>Population and Estimated Number Affected</w:t>
            </w:r>
          </w:p>
          <w:p w14:paraId="5D0D4E1D" w14:textId="77777777" w:rsidR="00DC712A" w:rsidRPr="00D42F62" w:rsidRDefault="00DC712A" w:rsidP="00DC712A">
            <w:pPr>
              <w:pStyle w:val="bodytextcontinued0"/>
              <w:spacing w:after="0"/>
              <w:jc w:val="center"/>
              <w:rPr>
                <w:rFonts w:cstheme="minorHAnsi"/>
                <w:sz w:val="22"/>
              </w:rPr>
            </w:pPr>
            <w:r w:rsidRPr="00D42F62">
              <w:rPr>
                <w:rFonts w:cstheme="minorHAnsi"/>
                <w:sz w:val="22"/>
              </w:rPr>
              <w:t>(Define populations and estimate number in each population)</w:t>
            </w:r>
          </w:p>
        </w:tc>
        <w:tc>
          <w:tcPr>
            <w:tcW w:w="701" w:type="pct"/>
            <w:shd w:val="clear" w:color="auto" w:fill="C6D9F1" w:themeFill="text2" w:themeFillTint="33"/>
            <w:vAlign w:val="bottom"/>
          </w:tcPr>
          <w:p w14:paraId="627A8500" w14:textId="77777777" w:rsidR="00DC712A" w:rsidRPr="00D42F62" w:rsidRDefault="00DC712A" w:rsidP="00DC712A">
            <w:pPr>
              <w:pStyle w:val="bodytextcontinued0"/>
              <w:spacing w:after="0"/>
              <w:jc w:val="center"/>
              <w:rPr>
                <w:rFonts w:cstheme="minorHAnsi"/>
                <w:b/>
                <w:i w:val="0"/>
                <w:sz w:val="22"/>
              </w:rPr>
            </w:pPr>
            <w:r w:rsidRPr="00D42F62">
              <w:rPr>
                <w:rFonts w:cstheme="minorHAnsi"/>
                <w:b/>
                <w:i w:val="0"/>
                <w:sz w:val="22"/>
              </w:rPr>
              <w:t xml:space="preserve">Status of State Action Taken to Date </w:t>
            </w:r>
          </w:p>
          <w:p w14:paraId="114D425F" w14:textId="77777777" w:rsidR="00DC712A" w:rsidRPr="00D42F62" w:rsidRDefault="00DC712A" w:rsidP="00DC712A">
            <w:pPr>
              <w:pStyle w:val="bodytextcontinued0"/>
              <w:spacing w:after="0"/>
              <w:jc w:val="center"/>
              <w:rPr>
                <w:rFonts w:cstheme="minorHAnsi"/>
                <w:sz w:val="22"/>
              </w:rPr>
            </w:pPr>
          </w:p>
        </w:tc>
        <w:tc>
          <w:tcPr>
            <w:tcW w:w="1117" w:type="pct"/>
            <w:shd w:val="clear" w:color="auto" w:fill="1F497D" w:themeFill="text2"/>
            <w:vAlign w:val="center"/>
          </w:tcPr>
          <w:p w14:paraId="5BF7E32B" w14:textId="5EEC710C" w:rsidR="00DC712A" w:rsidRPr="007F4561" w:rsidRDefault="00DC712A" w:rsidP="00DC712A">
            <w:pPr>
              <w:pStyle w:val="bodytextcontinued0"/>
              <w:spacing w:after="0"/>
              <w:jc w:val="center"/>
              <w:rPr>
                <w:rFonts w:cstheme="minorHAnsi"/>
                <w:b/>
                <w:i w:val="0"/>
                <w:color w:val="FFFFFF" w:themeColor="background1"/>
                <w:sz w:val="22"/>
              </w:rPr>
            </w:pPr>
            <w:r w:rsidRPr="003872D2">
              <w:rPr>
                <w:b/>
                <w:bCs/>
                <w:i w:val="0"/>
                <w:color w:val="FFFFFF" w:themeColor="background1"/>
                <w:sz w:val="22"/>
              </w:rPr>
              <w:t xml:space="preserve">Policy Changes to Facilitate Renewal and </w:t>
            </w:r>
            <w:r w:rsidR="008576F5" w:rsidRPr="003872D2">
              <w:rPr>
                <w:b/>
                <w:bCs/>
                <w:i w:val="0"/>
                <w:color w:val="FFFFFF" w:themeColor="background1"/>
                <w:sz w:val="22"/>
              </w:rPr>
              <w:t>Maintain Continuous Coverage for Eligibl</w:t>
            </w:r>
            <w:r w:rsidR="00E93FB1" w:rsidRPr="003872D2">
              <w:rPr>
                <w:b/>
                <w:bCs/>
                <w:i w:val="0"/>
                <w:color w:val="FFFFFF" w:themeColor="background1"/>
                <w:sz w:val="22"/>
              </w:rPr>
              <w:t>e Individuals</w:t>
            </w:r>
            <w:r w:rsidR="00E73D99">
              <w:rPr>
                <w:b/>
                <w:bCs/>
                <w:i w:val="0"/>
                <w:color w:val="FFFFFF" w:themeColor="background1"/>
                <w:sz w:val="22"/>
              </w:rPr>
              <w:t xml:space="preserve"> </w:t>
            </w:r>
          </w:p>
          <w:p w14:paraId="4FD2CC5A" w14:textId="77777777" w:rsidR="00DC712A" w:rsidRPr="00D42F62" w:rsidRDefault="00DC712A" w:rsidP="00DC712A">
            <w:pPr>
              <w:pStyle w:val="bodytextcontinued0"/>
              <w:spacing w:after="0"/>
              <w:jc w:val="center"/>
              <w:rPr>
                <w:rFonts w:cstheme="minorHAnsi"/>
                <w:b/>
                <w:iCs/>
                <w:color w:val="FFFFFF" w:themeColor="background1"/>
                <w:sz w:val="22"/>
              </w:rPr>
            </w:pPr>
          </w:p>
        </w:tc>
        <w:tc>
          <w:tcPr>
            <w:tcW w:w="781" w:type="pct"/>
            <w:shd w:val="clear" w:color="auto" w:fill="1F497D" w:themeFill="text2"/>
            <w:vAlign w:val="center"/>
          </w:tcPr>
          <w:p w14:paraId="64F66977" w14:textId="77777777" w:rsidR="00DC712A" w:rsidRPr="00D42F62" w:rsidRDefault="00DC712A" w:rsidP="00DC712A">
            <w:pPr>
              <w:pStyle w:val="bodytextcontinued0"/>
              <w:spacing w:after="0"/>
              <w:jc w:val="center"/>
              <w:rPr>
                <w:rFonts w:cstheme="minorHAnsi"/>
                <w:b/>
                <w:i w:val="0"/>
                <w:color w:val="FFFFFF" w:themeColor="background1"/>
                <w:sz w:val="22"/>
              </w:rPr>
            </w:pPr>
          </w:p>
          <w:p w14:paraId="5C38F317" w14:textId="77777777" w:rsidR="007131AA" w:rsidRPr="00D42F62" w:rsidRDefault="007131AA" w:rsidP="007131AA">
            <w:pPr>
              <w:pStyle w:val="bodytextcontinued0"/>
              <w:spacing w:after="0"/>
              <w:jc w:val="center"/>
              <w:rPr>
                <w:rFonts w:cstheme="minorHAnsi"/>
                <w:bCs/>
                <w:iCs/>
                <w:color w:val="FFFFFF" w:themeColor="background1"/>
                <w:sz w:val="22"/>
              </w:rPr>
            </w:pPr>
            <w:r w:rsidRPr="003872D2">
              <w:rPr>
                <w:b/>
                <w:bCs/>
                <w:i w:val="0"/>
                <w:color w:val="FFFFFF" w:themeColor="background1"/>
                <w:sz w:val="22"/>
              </w:rPr>
              <w:t xml:space="preserve">Operational and </w:t>
            </w:r>
            <w:r w:rsidR="00DC712A" w:rsidRPr="003872D2">
              <w:rPr>
                <w:b/>
                <w:bCs/>
                <w:i w:val="0"/>
                <w:color w:val="FFFFFF" w:themeColor="background1"/>
                <w:sz w:val="22"/>
              </w:rPr>
              <w:t xml:space="preserve">Systems </w:t>
            </w:r>
            <w:r w:rsidRPr="003872D2">
              <w:rPr>
                <w:color w:val="FFFFFF" w:themeColor="background1"/>
                <w:sz w:val="22"/>
              </w:rPr>
              <w:t>(E&amp;E, MMIS, Other)</w:t>
            </w:r>
          </w:p>
          <w:p w14:paraId="0FD292AC" w14:textId="77777777" w:rsidR="00DC712A" w:rsidRPr="00D42F62" w:rsidRDefault="00DC712A" w:rsidP="00DC712A">
            <w:pPr>
              <w:pStyle w:val="bodytextcontinued0"/>
              <w:spacing w:after="0"/>
              <w:jc w:val="center"/>
              <w:rPr>
                <w:rFonts w:cstheme="minorHAnsi"/>
                <w:b/>
                <w:i w:val="0"/>
                <w:color w:val="FFFFFF" w:themeColor="background1"/>
                <w:sz w:val="22"/>
              </w:rPr>
            </w:pPr>
            <w:r w:rsidRPr="003872D2">
              <w:rPr>
                <w:b/>
                <w:bCs/>
                <w:i w:val="0"/>
                <w:color w:val="FFFFFF" w:themeColor="background1"/>
                <w:sz w:val="22"/>
              </w:rPr>
              <w:t>Changes</w:t>
            </w:r>
          </w:p>
          <w:p w14:paraId="1C5197BE" w14:textId="77777777" w:rsidR="00DC712A" w:rsidRPr="00D42F62" w:rsidRDefault="00DC712A" w:rsidP="007131AA">
            <w:pPr>
              <w:pStyle w:val="bodytextcontinued0"/>
              <w:spacing w:after="0"/>
              <w:jc w:val="center"/>
              <w:rPr>
                <w:rFonts w:cstheme="minorHAnsi"/>
                <w:bCs/>
                <w:iCs/>
                <w:color w:val="FFFFFF" w:themeColor="background1"/>
                <w:sz w:val="22"/>
              </w:rPr>
            </w:pPr>
          </w:p>
        </w:tc>
        <w:tc>
          <w:tcPr>
            <w:tcW w:w="953" w:type="pct"/>
            <w:shd w:val="clear" w:color="auto" w:fill="1F497D" w:themeFill="text2"/>
            <w:vAlign w:val="center"/>
          </w:tcPr>
          <w:p w14:paraId="013723E7" w14:textId="77777777" w:rsidR="00DC712A" w:rsidRPr="00D42F62" w:rsidRDefault="00DC712A" w:rsidP="00DC712A">
            <w:pPr>
              <w:pStyle w:val="bodytextcontinued0"/>
              <w:spacing w:after="0"/>
              <w:jc w:val="center"/>
              <w:rPr>
                <w:rFonts w:cstheme="minorHAnsi"/>
                <w:b/>
                <w:i w:val="0"/>
                <w:color w:val="FFFFFF" w:themeColor="background1"/>
                <w:sz w:val="22"/>
              </w:rPr>
            </w:pPr>
            <w:r w:rsidRPr="003872D2">
              <w:rPr>
                <w:b/>
                <w:bCs/>
                <w:i w:val="0"/>
                <w:color w:val="FFFFFF" w:themeColor="background1"/>
                <w:sz w:val="22"/>
              </w:rPr>
              <w:t>State Approach Including Target Completion Date and Prioritization</w:t>
            </w:r>
          </w:p>
          <w:p w14:paraId="3B68FA28" w14:textId="77777777" w:rsidR="00DC712A" w:rsidRPr="00D42F62" w:rsidRDefault="00DC712A" w:rsidP="00DC712A">
            <w:pPr>
              <w:pStyle w:val="bodytextcontinued0"/>
              <w:spacing w:after="0"/>
              <w:jc w:val="center"/>
              <w:rPr>
                <w:rFonts w:cstheme="minorHAnsi"/>
                <w:color w:val="FFFFFF" w:themeColor="background1"/>
                <w:sz w:val="22"/>
              </w:rPr>
            </w:pPr>
          </w:p>
        </w:tc>
        <w:tc>
          <w:tcPr>
            <w:tcW w:w="531" w:type="pct"/>
            <w:shd w:val="clear" w:color="auto" w:fill="1F497D" w:themeFill="text2"/>
            <w:vAlign w:val="center"/>
          </w:tcPr>
          <w:p w14:paraId="4551B4F0" w14:textId="77777777" w:rsidR="00DC712A" w:rsidRPr="00D42F62" w:rsidRDefault="00DC712A" w:rsidP="00DC712A">
            <w:pPr>
              <w:pStyle w:val="bodytextcontinued0"/>
              <w:spacing w:after="0"/>
              <w:jc w:val="center"/>
              <w:rPr>
                <w:rFonts w:cstheme="minorHAnsi"/>
                <w:b/>
                <w:i w:val="0"/>
                <w:color w:val="FFFFFF" w:themeColor="background1"/>
                <w:sz w:val="22"/>
              </w:rPr>
            </w:pPr>
            <w:r w:rsidRPr="003872D2">
              <w:rPr>
                <w:b/>
                <w:bCs/>
                <w:i w:val="0"/>
                <w:color w:val="FFFFFF" w:themeColor="background1"/>
                <w:sz w:val="22"/>
              </w:rPr>
              <w:t>Other Considerations</w:t>
            </w:r>
          </w:p>
          <w:p w14:paraId="6A972969" w14:textId="77777777" w:rsidR="00DC712A" w:rsidRPr="00D42F62" w:rsidRDefault="00DC712A" w:rsidP="00DC712A">
            <w:pPr>
              <w:pStyle w:val="bodytextcontinued0"/>
              <w:spacing w:after="0"/>
              <w:jc w:val="center"/>
              <w:rPr>
                <w:rFonts w:cstheme="minorHAnsi"/>
                <w:bCs/>
                <w:iCs/>
                <w:color w:val="FFFFFF" w:themeColor="background1"/>
                <w:sz w:val="22"/>
              </w:rPr>
            </w:pPr>
          </w:p>
        </w:tc>
      </w:tr>
      <w:tr w:rsidR="00CD4224" w:rsidRPr="00D42F62" w14:paraId="20AD7892" w14:textId="77777777" w:rsidTr="0074275D">
        <w:trPr>
          <w:trHeight w:val="323"/>
        </w:trPr>
        <w:tc>
          <w:tcPr>
            <w:tcW w:w="917" w:type="pct"/>
            <w:tcBorders>
              <w:top w:val="single" w:sz="4" w:space="0" w:color="000000" w:themeColor="text1"/>
              <w:bottom w:val="single" w:sz="4" w:space="0" w:color="000000" w:themeColor="text1"/>
            </w:tcBorders>
          </w:tcPr>
          <w:p w14:paraId="174A3D52" w14:textId="77777777" w:rsidR="00DC712A" w:rsidRPr="00D42F62" w:rsidRDefault="00335339" w:rsidP="00DC712A">
            <w:pPr>
              <w:pStyle w:val="bodytextcontinued0"/>
              <w:rPr>
                <w:bCs/>
                <w:iCs/>
                <w:szCs w:val="20"/>
              </w:rPr>
            </w:pPr>
            <w:r w:rsidRPr="00D42F62">
              <w:rPr>
                <w:b/>
                <w:iCs/>
                <w:szCs w:val="20"/>
              </w:rPr>
              <w:t xml:space="preserve">Example: </w:t>
            </w:r>
            <w:r w:rsidRPr="00D42F62">
              <w:rPr>
                <w:bCs/>
                <w:iCs/>
                <w:szCs w:val="20"/>
              </w:rPr>
              <w:t>Individuals dually eligible for Medicaid and Medicare</w:t>
            </w:r>
          </w:p>
        </w:tc>
        <w:tc>
          <w:tcPr>
            <w:tcW w:w="701" w:type="pct"/>
            <w:tcBorders>
              <w:top w:val="single" w:sz="4" w:space="0" w:color="000000" w:themeColor="text1"/>
              <w:bottom w:val="single" w:sz="4" w:space="0" w:color="000000" w:themeColor="text1"/>
            </w:tcBorders>
          </w:tcPr>
          <w:p w14:paraId="161F2D50" w14:textId="77777777" w:rsidR="00DC712A" w:rsidRPr="00D42F62" w:rsidRDefault="00335339" w:rsidP="00DA2575">
            <w:pPr>
              <w:pStyle w:val="bodytextcontinued0"/>
              <w:numPr>
                <w:ilvl w:val="0"/>
                <w:numId w:val="6"/>
              </w:numPr>
              <w:rPr>
                <w:rFonts w:cstheme="minorHAnsi"/>
                <w:iCs/>
                <w:szCs w:val="20"/>
              </w:rPr>
            </w:pPr>
            <w:r w:rsidRPr="00D42F62">
              <w:rPr>
                <w:rFonts w:cstheme="minorHAnsi"/>
                <w:iCs/>
                <w:szCs w:val="20"/>
              </w:rPr>
              <w:t>Identified individuals dually eligible for Medicaid and Medicare</w:t>
            </w:r>
          </w:p>
        </w:tc>
        <w:tc>
          <w:tcPr>
            <w:tcW w:w="1117" w:type="pct"/>
            <w:tcBorders>
              <w:top w:val="single" w:sz="4" w:space="0" w:color="000000" w:themeColor="text1"/>
              <w:bottom w:val="single" w:sz="4" w:space="0" w:color="000000" w:themeColor="text1"/>
            </w:tcBorders>
          </w:tcPr>
          <w:p w14:paraId="1220ADFD" w14:textId="34611EF5" w:rsidR="00335339" w:rsidRPr="00D42F62" w:rsidRDefault="00273A78" w:rsidP="00DA2575">
            <w:pPr>
              <w:pStyle w:val="ListParagraph"/>
              <w:numPr>
                <w:ilvl w:val="0"/>
                <w:numId w:val="6"/>
              </w:numPr>
              <w:spacing w:line="259" w:lineRule="auto"/>
              <w:rPr>
                <w:rFonts w:eastAsia="Times New Roman"/>
                <w:i/>
                <w:iCs/>
                <w:sz w:val="20"/>
                <w:szCs w:val="20"/>
              </w:rPr>
            </w:pPr>
            <w:r>
              <w:rPr>
                <w:rFonts w:eastAsia="Times New Roman"/>
                <w:i/>
                <w:iCs/>
                <w:sz w:val="20"/>
                <w:szCs w:val="20"/>
              </w:rPr>
              <w:t>Use</w:t>
            </w:r>
            <w:r w:rsidR="009D03D6">
              <w:rPr>
                <w:rFonts w:eastAsia="Times New Roman"/>
                <w:i/>
                <w:iCs/>
                <w:sz w:val="20"/>
                <w:szCs w:val="20"/>
              </w:rPr>
              <w:t xml:space="preserve"> authority </w:t>
            </w:r>
            <w:r>
              <w:rPr>
                <w:rFonts w:eastAsia="Times New Roman"/>
                <w:i/>
                <w:iCs/>
                <w:sz w:val="20"/>
                <w:szCs w:val="20"/>
              </w:rPr>
              <w:t>under</w:t>
            </w:r>
            <w:r w:rsidR="009D03D6">
              <w:rPr>
                <w:rFonts w:eastAsia="Times New Roman"/>
                <w:i/>
                <w:iCs/>
                <w:sz w:val="20"/>
                <w:szCs w:val="20"/>
              </w:rPr>
              <w:t xml:space="preserve"> </w:t>
            </w:r>
            <w:r w:rsidR="00E36082">
              <w:rPr>
                <w:rFonts w:eastAsia="Times New Roman"/>
                <w:i/>
                <w:iCs/>
                <w:sz w:val="20"/>
                <w:szCs w:val="20"/>
              </w:rPr>
              <w:t xml:space="preserve">section </w:t>
            </w:r>
            <w:r w:rsidR="009D03D6">
              <w:rPr>
                <w:rFonts w:eastAsia="Times New Roman"/>
                <w:i/>
                <w:iCs/>
                <w:sz w:val="20"/>
                <w:szCs w:val="20"/>
              </w:rPr>
              <w:t>190</w:t>
            </w:r>
            <w:r w:rsidR="00E36082">
              <w:rPr>
                <w:rFonts w:eastAsia="Times New Roman"/>
                <w:i/>
                <w:iCs/>
                <w:sz w:val="20"/>
                <w:szCs w:val="20"/>
              </w:rPr>
              <w:t>2</w:t>
            </w:r>
            <w:r w:rsidR="009D03D6">
              <w:rPr>
                <w:rFonts w:eastAsia="Times New Roman"/>
                <w:i/>
                <w:iCs/>
                <w:sz w:val="20"/>
                <w:szCs w:val="20"/>
              </w:rPr>
              <w:t>(r)(2) of the Act</w:t>
            </w:r>
            <w:r w:rsidR="00700B74">
              <w:rPr>
                <w:rFonts w:eastAsia="Times New Roman"/>
                <w:i/>
                <w:iCs/>
                <w:sz w:val="20"/>
                <w:szCs w:val="20"/>
              </w:rPr>
              <w:t xml:space="preserve"> </w:t>
            </w:r>
            <w:r>
              <w:rPr>
                <w:rFonts w:eastAsia="Times New Roman"/>
                <w:i/>
                <w:iCs/>
                <w:sz w:val="20"/>
                <w:szCs w:val="20"/>
              </w:rPr>
              <w:t>to adopt</w:t>
            </w:r>
            <w:r w:rsidR="00700B74">
              <w:rPr>
                <w:rFonts w:eastAsia="Times New Roman"/>
                <w:i/>
                <w:iCs/>
                <w:sz w:val="20"/>
                <w:szCs w:val="20"/>
              </w:rPr>
              <w:t xml:space="preserve"> less restrictive rules in counting income and </w:t>
            </w:r>
            <w:r w:rsidR="0098408B">
              <w:rPr>
                <w:rFonts w:eastAsia="Times New Roman"/>
                <w:i/>
                <w:iCs/>
                <w:sz w:val="20"/>
                <w:szCs w:val="20"/>
              </w:rPr>
              <w:t>resources and</w:t>
            </w:r>
            <w:r w:rsidR="000D7D5B">
              <w:rPr>
                <w:rFonts w:eastAsia="Times New Roman"/>
                <w:i/>
                <w:iCs/>
                <w:sz w:val="20"/>
                <w:szCs w:val="20"/>
              </w:rPr>
              <w:t xml:space="preserve"> thereby</w:t>
            </w:r>
            <w:r w:rsidR="00700B74">
              <w:rPr>
                <w:rFonts w:eastAsia="Times New Roman"/>
                <w:i/>
                <w:iCs/>
                <w:sz w:val="20"/>
                <w:szCs w:val="20"/>
              </w:rPr>
              <w:t xml:space="preserve"> effectively increase the </w:t>
            </w:r>
            <w:r w:rsidR="00335339" w:rsidRPr="00D42F62">
              <w:rPr>
                <w:rFonts w:eastAsia="Times New Roman"/>
                <w:i/>
                <w:iCs/>
                <w:sz w:val="20"/>
                <w:szCs w:val="20"/>
              </w:rPr>
              <w:t xml:space="preserve">income and resource criteria for </w:t>
            </w:r>
            <w:r w:rsidR="0092263C">
              <w:rPr>
                <w:rFonts w:eastAsia="Times New Roman"/>
                <w:i/>
                <w:iCs/>
                <w:sz w:val="20"/>
                <w:szCs w:val="20"/>
              </w:rPr>
              <w:t>Medicare Savings Program</w:t>
            </w:r>
            <w:r w:rsidR="00700B74">
              <w:rPr>
                <w:rFonts w:eastAsia="Times New Roman"/>
                <w:i/>
                <w:iCs/>
                <w:sz w:val="20"/>
                <w:szCs w:val="20"/>
              </w:rPr>
              <w:t>s</w:t>
            </w:r>
            <w:r w:rsidR="0092263C">
              <w:rPr>
                <w:rFonts w:eastAsia="Times New Roman"/>
                <w:i/>
                <w:iCs/>
                <w:sz w:val="20"/>
                <w:szCs w:val="20"/>
              </w:rPr>
              <w:t xml:space="preserve"> (</w:t>
            </w:r>
            <w:r w:rsidR="00335339" w:rsidRPr="00D42F62">
              <w:rPr>
                <w:rFonts w:eastAsia="Times New Roman"/>
                <w:i/>
                <w:iCs/>
                <w:sz w:val="20"/>
                <w:szCs w:val="20"/>
              </w:rPr>
              <w:t>MSP</w:t>
            </w:r>
            <w:r w:rsidR="0092263C">
              <w:rPr>
                <w:rFonts w:eastAsia="Times New Roman"/>
                <w:i/>
                <w:iCs/>
                <w:sz w:val="20"/>
                <w:szCs w:val="20"/>
              </w:rPr>
              <w:t>)</w:t>
            </w:r>
            <w:r w:rsidR="00335339" w:rsidRPr="00D42F62">
              <w:rPr>
                <w:rFonts w:eastAsia="Times New Roman"/>
                <w:i/>
                <w:iCs/>
                <w:sz w:val="20"/>
                <w:szCs w:val="20"/>
              </w:rPr>
              <w:t xml:space="preserve"> </w:t>
            </w:r>
            <w:r w:rsidR="00700B74">
              <w:rPr>
                <w:rFonts w:eastAsia="Times New Roman"/>
                <w:i/>
                <w:iCs/>
                <w:sz w:val="20"/>
                <w:szCs w:val="20"/>
              </w:rPr>
              <w:t xml:space="preserve">eligibility </w:t>
            </w:r>
            <w:r w:rsidR="00335339" w:rsidRPr="00D42F62">
              <w:rPr>
                <w:rFonts w:eastAsia="Times New Roman"/>
                <w:i/>
                <w:iCs/>
                <w:sz w:val="20"/>
                <w:szCs w:val="20"/>
              </w:rPr>
              <w:t>group</w:t>
            </w:r>
            <w:r w:rsidR="00700B74">
              <w:rPr>
                <w:rFonts w:eastAsia="Times New Roman"/>
                <w:i/>
                <w:iCs/>
                <w:sz w:val="20"/>
                <w:szCs w:val="20"/>
              </w:rPr>
              <w:t>s</w:t>
            </w:r>
            <w:r w:rsidR="00335339" w:rsidRPr="00D42F62">
              <w:rPr>
                <w:rFonts w:eastAsia="Times New Roman"/>
                <w:i/>
                <w:iCs/>
                <w:sz w:val="20"/>
                <w:szCs w:val="20"/>
              </w:rPr>
              <w:t xml:space="preserve"> (</w:t>
            </w:r>
            <w:r w:rsidR="00163346">
              <w:rPr>
                <w:rFonts w:eastAsia="Times New Roman"/>
                <w:i/>
                <w:iCs/>
                <w:sz w:val="20"/>
                <w:szCs w:val="20"/>
              </w:rPr>
              <w:t xml:space="preserve">Eligibility </w:t>
            </w:r>
            <w:r w:rsidR="00335339" w:rsidRPr="00D42F62">
              <w:rPr>
                <w:rFonts w:eastAsia="Times New Roman"/>
                <w:i/>
                <w:iCs/>
                <w:sz w:val="20"/>
                <w:szCs w:val="20"/>
              </w:rPr>
              <w:t>SPA)</w:t>
            </w:r>
          </w:p>
          <w:p w14:paraId="1FF5D285" w14:textId="5490DE2C" w:rsidR="009D03D6" w:rsidRPr="009D03D6" w:rsidRDefault="009D03D6" w:rsidP="00DA2575">
            <w:pPr>
              <w:pStyle w:val="ListParagraph"/>
              <w:numPr>
                <w:ilvl w:val="0"/>
                <w:numId w:val="6"/>
              </w:numPr>
              <w:spacing w:line="259" w:lineRule="auto"/>
              <w:rPr>
                <w:rFonts w:eastAsia="Times New Roman"/>
                <w:i/>
                <w:iCs/>
                <w:sz w:val="20"/>
                <w:szCs w:val="20"/>
              </w:rPr>
            </w:pPr>
            <w:r>
              <w:rPr>
                <w:rFonts w:eastAsia="Times New Roman"/>
                <w:i/>
                <w:iCs/>
                <w:sz w:val="20"/>
                <w:szCs w:val="20"/>
              </w:rPr>
              <w:t>Per regulations specified at 42 C.F.R. 435.916(b), a</w:t>
            </w:r>
            <w:r w:rsidRPr="00D42F62">
              <w:rPr>
                <w:rFonts w:eastAsia="Times New Roman"/>
                <w:i/>
                <w:iCs/>
                <w:sz w:val="20"/>
                <w:szCs w:val="20"/>
              </w:rPr>
              <w:t>dopt 12</w:t>
            </w:r>
            <w:r>
              <w:rPr>
                <w:rFonts w:eastAsia="Times New Roman"/>
                <w:i/>
                <w:iCs/>
                <w:sz w:val="20"/>
                <w:szCs w:val="20"/>
              </w:rPr>
              <w:t>-</w:t>
            </w:r>
            <w:r w:rsidRPr="00D42F62">
              <w:rPr>
                <w:rFonts w:eastAsia="Times New Roman"/>
                <w:i/>
                <w:iCs/>
                <w:sz w:val="20"/>
                <w:szCs w:val="20"/>
              </w:rPr>
              <w:t>month renewals (</w:t>
            </w:r>
            <w:r w:rsidR="008E3D9E">
              <w:rPr>
                <w:rFonts w:eastAsia="Times New Roman"/>
                <w:i/>
                <w:iCs/>
                <w:sz w:val="20"/>
                <w:szCs w:val="20"/>
              </w:rPr>
              <w:t xml:space="preserve">Eligibility </w:t>
            </w:r>
            <w:r w:rsidRPr="00D42F62">
              <w:rPr>
                <w:rFonts w:eastAsia="Times New Roman"/>
                <w:i/>
                <w:iCs/>
                <w:sz w:val="20"/>
                <w:szCs w:val="20"/>
              </w:rPr>
              <w:t>SPA)</w:t>
            </w:r>
          </w:p>
          <w:p w14:paraId="0ABF8DFE" w14:textId="60CA054A" w:rsidR="00335339" w:rsidRPr="00D42F62" w:rsidRDefault="009D03D6" w:rsidP="00DA2575">
            <w:pPr>
              <w:pStyle w:val="ListParagraph"/>
              <w:numPr>
                <w:ilvl w:val="0"/>
                <w:numId w:val="6"/>
              </w:numPr>
              <w:spacing w:line="259" w:lineRule="auto"/>
              <w:rPr>
                <w:rFonts w:eastAsia="Times New Roman"/>
                <w:i/>
                <w:iCs/>
                <w:sz w:val="20"/>
                <w:szCs w:val="20"/>
              </w:rPr>
            </w:pPr>
            <w:r>
              <w:rPr>
                <w:rFonts w:eastAsia="Times New Roman"/>
                <w:i/>
                <w:iCs/>
                <w:sz w:val="20"/>
                <w:szCs w:val="20"/>
              </w:rPr>
              <w:t>Per the options specified in 42 C.F.R. 435.916(b), p</w:t>
            </w:r>
            <w:r w:rsidR="00335339" w:rsidRPr="00D42F62">
              <w:rPr>
                <w:rFonts w:eastAsia="Times New Roman"/>
                <w:i/>
                <w:iCs/>
                <w:sz w:val="20"/>
                <w:szCs w:val="20"/>
              </w:rPr>
              <w:t>rovide pre-populated renewal forms and reconsideration period</w:t>
            </w:r>
            <w:r w:rsidR="00992662">
              <w:rPr>
                <w:rFonts w:eastAsia="Times New Roman"/>
                <w:i/>
                <w:iCs/>
                <w:sz w:val="20"/>
                <w:szCs w:val="20"/>
              </w:rPr>
              <w:t xml:space="preserve"> </w:t>
            </w:r>
            <w:r w:rsidR="00D37BC6">
              <w:rPr>
                <w:rFonts w:eastAsia="Times New Roman"/>
                <w:i/>
                <w:iCs/>
                <w:sz w:val="20"/>
                <w:szCs w:val="20"/>
              </w:rPr>
              <w:t>(Eligibility SPA and/or Update to State’s Internal Procedures)</w:t>
            </w:r>
          </w:p>
        </w:tc>
        <w:tc>
          <w:tcPr>
            <w:tcW w:w="781" w:type="pct"/>
            <w:tcBorders>
              <w:top w:val="single" w:sz="4" w:space="0" w:color="000000" w:themeColor="text1"/>
              <w:bottom w:val="single" w:sz="4" w:space="0" w:color="000000" w:themeColor="text1"/>
            </w:tcBorders>
          </w:tcPr>
          <w:p w14:paraId="71B6FCE5" w14:textId="77777777" w:rsidR="00DC712A" w:rsidRDefault="00D42F62" w:rsidP="00DA2575">
            <w:pPr>
              <w:pStyle w:val="bodytextcontinued0"/>
              <w:numPr>
                <w:ilvl w:val="0"/>
                <w:numId w:val="6"/>
              </w:numPr>
              <w:spacing w:after="0"/>
              <w:rPr>
                <w:rFonts w:cstheme="minorHAnsi"/>
                <w:iCs/>
                <w:szCs w:val="20"/>
              </w:rPr>
            </w:pPr>
            <w:r>
              <w:rPr>
                <w:rFonts w:cstheme="minorHAnsi"/>
                <w:b/>
                <w:bCs/>
                <w:iCs/>
                <w:szCs w:val="20"/>
              </w:rPr>
              <w:t xml:space="preserve">E&amp;E: </w:t>
            </w:r>
            <w:r>
              <w:rPr>
                <w:rFonts w:cstheme="minorHAnsi"/>
                <w:iCs/>
                <w:szCs w:val="20"/>
              </w:rPr>
              <w:t xml:space="preserve">Implement system change to eliminate income and resource criteria, extend renewals, pre-populate forms </w:t>
            </w:r>
            <w:r w:rsidR="00903AD7">
              <w:rPr>
                <w:rFonts w:cstheme="minorHAnsi"/>
                <w:iCs/>
                <w:szCs w:val="20"/>
              </w:rPr>
              <w:t>to duals</w:t>
            </w:r>
          </w:p>
          <w:p w14:paraId="1410E32B" w14:textId="77777777" w:rsidR="000F4262" w:rsidRPr="000F4262" w:rsidRDefault="00D12E04" w:rsidP="00DA2575">
            <w:pPr>
              <w:pStyle w:val="bodytextcontinued0"/>
              <w:numPr>
                <w:ilvl w:val="0"/>
                <w:numId w:val="6"/>
              </w:numPr>
              <w:spacing w:after="0"/>
              <w:rPr>
                <w:rFonts w:cstheme="minorHAnsi"/>
                <w:iCs/>
                <w:szCs w:val="20"/>
              </w:rPr>
            </w:pPr>
            <w:r>
              <w:rPr>
                <w:rFonts w:cstheme="minorHAnsi"/>
                <w:b/>
                <w:bCs/>
                <w:iCs/>
                <w:szCs w:val="20"/>
              </w:rPr>
              <w:t xml:space="preserve">Other: </w:t>
            </w:r>
            <w:r w:rsidR="000F4262" w:rsidRPr="000F4262">
              <w:rPr>
                <w:rFonts w:cstheme="minorHAnsi"/>
                <w:iCs/>
                <w:szCs w:val="20"/>
              </w:rPr>
              <w:t>Develop notice</w:t>
            </w:r>
            <w:r w:rsidR="000F4262">
              <w:rPr>
                <w:rFonts w:cstheme="minorHAnsi"/>
                <w:iCs/>
                <w:szCs w:val="20"/>
              </w:rPr>
              <w:t xml:space="preserve"> language</w:t>
            </w:r>
          </w:p>
        </w:tc>
        <w:tc>
          <w:tcPr>
            <w:tcW w:w="953" w:type="pct"/>
            <w:tcBorders>
              <w:top w:val="single" w:sz="4" w:space="0" w:color="000000" w:themeColor="text1"/>
              <w:bottom w:val="single" w:sz="4" w:space="0" w:color="000000" w:themeColor="text1"/>
            </w:tcBorders>
          </w:tcPr>
          <w:p w14:paraId="66E79367" w14:textId="77777777" w:rsidR="00DC712A" w:rsidRPr="00853279" w:rsidRDefault="00853279" w:rsidP="00DA2575">
            <w:pPr>
              <w:pStyle w:val="bodytextcontinued0"/>
              <w:numPr>
                <w:ilvl w:val="0"/>
                <w:numId w:val="6"/>
              </w:numPr>
              <w:spacing w:after="0"/>
              <w:rPr>
                <w:rFonts w:cstheme="minorHAnsi"/>
                <w:b/>
                <w:bCs/>
                <w:iCs/>
                <w:szCs w:val="20"/>
              </w:rPr>
            </w:pPr>
            <w:r w:rsidRPr="00D42F62">
              <w:rPr>
                <w:rFonts w:cstheme="minorHAnsi"/>
                <w:b/>
                <w:bCs/>
                <w:iCs/>
                <w:szCs w:val="20"/>
              </w:rPr>
              <w:t>Approach:</w:t>
            </w:r>
            <w:r>
              <w:rPr>
                <w:rFonts w:cstheme="minorHAnsi"/>
                <w:b/>
                <w:bCs/>
                <w:iCs/>
                <w:szCs w:val="20"/>
              </w:rPr>
              <w:t xml:space="preserve"> </w:t>
            </w:r>
            <w:r>
              <w:rPr>
                <w:rFonts w:cstheme="minorHAnsi"/>
                <w:iCs/>
                <w:szCs w:val="20"/>
              </w:rPr>
              <w:t>Streamline renewals for dual eligibles</w:t>
            </w:r>
          </w:p>
          <w:p w14:paraId="5D0ECBC1" w14:textId="4139D461" w:rsidR="00853279" w:rsidRPr="00D42F62" w:rsidRDefault="00853279" w:rsidP="00DA2575">
            <w:pPr>
              <w:pStyle w:val="bodytextcontinued0"/>
              <w:numPr>
                <w:ilvl w:val="0"/>
                <w:numId w:val="6"/>
              </w:numPr>
              <w:spacing w:after="0"/>
              <w:rPr>
                <w:rFonts w:cstheme="minorHAnsi"/>
                <w:b/>
                <w:bCs/>
                <w:iCs/>
                <w:szCs w:val="20"/>
              </w:rPr>
            </w:pPr>
            <w:r w:rsidRPr="00D42F62">
              <w:rPr>
                <w:rFonts w:cstheme="minorHAnsi"/>
                <w:b/>
                <w:bCs/>
                <w:iCs/>
                <w:szCs w:val="20"/>
              </w:rPr>
              <w:t>Target:</w:t>
            </w:r>
            <w:r w:rsidRPr="00D42F62">
              <w:rPr>
                <w:rFonts w:cstheme="minorHAnsi"/>
                <w:iCs/>
                <w:szCs w:val="20"/>
              </w:rPr>
              <w:t xml:space="preserve"> Complete by end of </w:t>
            </w:r>
            <w:r w:rsidR="0092263C">
              <w:rPr>
                <w:rFonts w:cstheme="minorHAnsi"/>
                <w:iCs/>
                <w:szCs w:val="20"/>
              </w:rPr>
              <w:t>the</w:t>
            </w:r>
            <w:r w:rsidRPr="00D42F62">
              <w:rPr>
                <w:rFonts w:cstheme="minorHAnsi"/>
                <w:iCs/>
                <w:szCs w:val="20"/>
              </w:rPr>
              <w:t xml:space="preserve"> 12</w:t>
            </w:r>
            <w:r w:rsidR="0092263C">
              <w:rPr>
                <w:rFonts w:cstheme="minorHAnsi"/>
                <w:iCs/>
                <w:szCs w:val="20"/>
              </w:rPr>
              <w:t>th</w:t>
            </w:r>
            <w:r w:rsidRPr="00D42F62">
              <w:rPr>
                <w:rFonts w:cstheme="minorHAnsi"/>
                <w:iCs/>
                <w:szCs w:val="20"/>
              </w:rPr>
              <w:t xml:space="preserve"> month</w:t>
            </w:r>
            <w:r w:rsidR="0092263C">
              <w:rPr>
                <w:rFonts w:cstheme="minorHAnsi"/>
                <w:iCs/>
                <w:szCs w:val="20"/>
              </w:rPr>
              <w:t xml:space="preserve"> after the </w:t>
            </w:r>
            <w:r w:rsidR="00BF44BE">
              <w:rPr>
                <w:rFonts w:cstheme="minorHAnsi"/>
                <w:iCs/>
                <w:szCs w:val="20"/>
              </w:rPr>
              <w:t>continuous enrollment condition</w:t>
            </w:r>
            <w:r w:rsidR="0092263C">
              <w:rPr>
                <w:rFonts w:cstheme="minorHAnsi"/>
                <w:iCs/>
                <w:szCs w:val="20"/>
              </w:rPr>
              <w:t xml:space="preserve"> ends</w:t>
            </w:r>
          </w:p>
        </w:tc>
        <w:tc>
          <w:tcPr>
            <w:tcW w:w="531" w:type="pct"/>
            <w:tcBorders>
              <w:top w:val="single" w:sz="4" w:space="0" w:color="000000" w:themeColor="text1"/>
              <w:bottom w:val="single" w:sz="4" w:space="0" w:color="000000" w:themeColor="text1"/>
            </w:tcBorders>
          </w:tcPr>
          <w:p w14:paraId="1BAB9630" w14:textId="0FC49F53" w:rsidR="00DC712A" w:rsidRPr="00D42F62" w:rsidRDefault="00BE624E" w:rsidP="00DA2575">
            <w:pPr>
              <w:pStyle w:val="bodytextcontinued0"/>
              <w:numPr>
                <w:ilvl w:val="0"/>
                <w:numId w:val="6"/>
              </w:numPr>
              <w:spacing w:after="0"/>
              <w:rPr>
                <w:rFonts w:cstheme="minorHAnsi"/>
                <w:szCs w:val="20"/>
              </w:rPr>
            </w:pPr>
            <w:r>
              <w:rPr>
                <w:rFonts w:cstheme="minorHAnsi"/>
                <w:szCs w:val="20"/>
              </w:rPr>
              <w:t>Ensure any proposed targeting of populations does not</w:t>
            </w:r>
            <w:r w:rsidR="00CD4224" w:rsidRPr="00CD4224">
              <w:rPr>
                <w:iCs/>
                <w:highlight w:val="yellow"/>
              </w:rPr>
              <w:t xml:space="preserve"> </w:t>
            </w:r>
            <w:r w:rsidR="00CD4224" w:rsidRPr="0098408B">
              <w:rPr>
                <w:iCs/>
              </w:rPr>
              <w:t>constitute a violation of federal law</w:t>
            </w:r>
            <w:r w:rsidR="00CD4224" w:rsidRPr="00386C08">
              <w:rPr>
                <w:iCs/>
              </w:rPr>
              <w:t xml:space="preserve">, </w:t>
            </w:r>
            <w:r w:rsidR="00CD4224" w:rsidRPr="0098408B">
              <w:rPr>
                <w:iCs/>
              </w:rPr>
              <w:t>including, but not limited to, the Americans with Disabilities Act of 1990 (ADA), Title VI of the Civil Rights Act of 1964, Section 504 of the Rehabilitation Act of 1973 (Section 504), the Age Discrimination Act of 1975, and Section 1557 of the Affordable Care Act.</w:t>
            </w:r>
            <w:r w:rsidR="00CD4224" w:rsidRPr="0098408B">
              <w:rPr>
                <w:i w:val="0"/>
                <w:iCs/>
              </w:rPr>
              <w:t xml:space="preserve"> </w:t>
            </w:r>
          </w:p>
        </w:tc>
      </w:tr>
      <w:tr w:rsidR="00CD4224" w:rsidRPr="00D42F62" w14:paraId="1A326654" w14:textId="77777777" w:rsidTr="0074275D">
        <w:trPr>
          <w:trHeight w:val="800"/>
        </w:trPr>
        <w:tc>
          <w:tcPr>
            <w:tcW w:w="917" w:type="pct"/>
            <w:tcBorders>
              <w:top w:val="single" w:sz="4" w:space="0" w:color="000000" w:themeColor="text1"/>
              <w:bottom w:val="single" w:sz="4" w:space="0" w:color="000000" w:themeColor="text1"/>
            </w:tcBorders>
          </w:tcPr>
          <w:p w14:paraId="39F7374E" w14:textId="77777777" w:rsidR="00335339" w:rsidRPr="00D42F62" w:rsidRDefault="00335339" w:rsidP="00CD4224">
            <w:pPr>
              <w:pStyle w:val="bodytextcontinued0"/>
              <w:spacing w:after="0"/>
              <w:rPr>
                <w:b/>
                <w:iCs/>
                <w:szCs w:val="20"/>
              </w:rPr>
            </w:pPr>
            <w:r w:rsidRPr="00D42F62">
              <w:rPr>
                <w:b/>
                <w:iCs/>
                <w:szCs w:val="20"/>
              </w:rPr>
              <w:lastRenderedPageBreak/>
              <w:t>Example</w:t>
            </w:r>
            <w:r w:rsidRPr="00D42F62">
              <w:rPr>
                <w:b/>
                <w:i w:val="0"/>
                <w:szCs w:val="20"/>
              </w:rPr>
              <w:t xml:space="preserve">: </w:t>
            </w:r>
            <w:r w:rsidRPr="00D42F62">
              <w:rPr>
                <w:bCs/>
                <w:iCs/>
                <w:szCs w:val="20"/>
              </w:rPr>
              <w:t>People who are pregnant</w:t>
            </w:r>
            <w:r w:rsidR="0092263C">
              <w:rPr>
                <w:bCs/>
                <w:iCs/>
                <w:szCs w:val="20"/>
              </w:rPr>
              <w:t xml:space="preserve"> and those who are</w:t>
            </w:r>
            <w:r w:rsidRPr="00D42F62">
              <w:rPr>
                <w:bCs/>
                <w:iCs/>
                <w:szCs w:val="20"/>
              </w:rPr>
              <w:t xml:space="preserve"> beyond 60 days postpartum</w:t>
            </w:r>
          </w:p>
        </w:tc>
        <w:tc>
          <w:tcPr>
            <w:tcW w:w="701" w:type="pct"/>
            <w:tcBorders>
              <w:top w:val="single" w:sz="4" w:space="0" w:color="000000" w:themeColor="text1"/>
              <w:bottom w:val="single" w:sz="4" w:space="0" w:color="000000" w:themeColor="text1"/>
            </w:tcBorders>
          </w:tcPr>
          <w:p w14:paraId="5C118300" w14:textId="77777777" w:rsidR="00335339" w:rsidRPr="00D42F62" w:rsidRDefault="00335339" w:rsidP="00DA2575">
            <w:pPr>
              <w:pStyle w:val="bodytextcontinued0"/>
              <w:numPr>
                <w:ilvl w:val="0"/>
                <w:numId w:val="17"/>
              </w:numPr>
              <w:spacing w:after="0"/>
              <w:rPr>
                <w:rFonts w:cstheme="minorHAnsi"/>
                <w:iCs/>
                <w:szCs w:val="20"/>
              </w:rPr>
            </w:pPr>
            <w:r w:rsidRPr="00D42F62">
              <w:rPr>
                <w:rFonts w:cstheme="minorHAnsi"/>
                <w:iCs/>
                <w:szCs w:val="20"/>
              </w:rPr>
              <w:t>Identified pregnant people</w:t>
            </w:r>
            <w:r w:rsidR="001F0434">
              <w:rPr>
                <w:rFonts w:cstheme="minorHAnsi"/>
                <w:iCs/>
                <w:szCs w:val="20"/>
              </w:rPr>
              <w:t xml:space="preserve"> and those</w:t>
            </w:r>
            <w:r w:rsidRPr="00D42F62">
              <w:rPr>
                <w:rFonts w:cstheme="minorHAnsi"/>
                <w:iCs/>
                <w:szCs w:val="20"/>
              </w:rPr>
              <w:t xml:space="preserve"> beyond 60 days postpartum</w:t>
            </w:r>
          </w:p>
        </w:tc>
        <w:tc>
          <w:tcPr>
            <w:tcW w:w="1117" w:type="pct"/>
            <w:tcBorders>
              <w:top w:val="single" w:sz="4" w:space="0" w:color="000000" w:themeColor="text1"/>
              <w:bottom w:val="single" w:sz="4" w:space="0" w:color="000000" w:themeColor="text1"/>
            </w:tcBorders>
          </w:tcPr>
          <w:p w14:paraId="26DB84C6" w14:textId="2C29DBE2" w:rsidR="00335339" w:rsidRPr="00D42F62" w:rsidRDefault="00335339" w:rsidP="00DA2575">
            <w:pPr>
              <w:pStyle w:val="bodytextcontinued0"/>
              <w:numPr>
                <w:ilvl w:val="0"/>
                <w:numId w:val="9"/>
              </w:numPr>
              <w:spacing w:after="0"/>
              <w:rPr>
                <w:rFonts w:cstheme="minorHAnsi"/>
                <w:iCs/>
                <w:szCs w:val="20"/>
              </w:rPr>
            </w:pPr>
            <w:r w:rsidRPr="00D42F62">
              <w:rPr>
                <w:rFonts w:eastAsia="Times New Roman"/>
                <w:iCs/>
                <w:szCs w:val="20"/>
              </w:rPr>
              <w:t>Implement</w:t>
            </w:r>
            <w:r w:rsidR="0092263C">
              <w:rPr>
                <w:rFonts w:eastAsia="Times New Roman"/>
                <w:iCs/>
                <w:szCs w:val="20"/>
              </w:rPr>
              <w:t xml:space="preserve"> the</w:t>
            </w:r>
            <w:r w:rsidRPr="00D42F62">
              <w:rPr>
                <w:rFonts w:eastAsia="Times New Roman"/>
                <w:iCs/>
                <w:szCs w:val="20"/>
              </w:rPr>
              <w:t xml:space="preserve"> </w:t>
            </w:r>
            <w:r w:rsidR="0092263C">
              <w:rPr>
                <w:rFonts w:eastAsia="Times New Roman"/>
                <w:iCs/>
                <w:szCs w:val="20"/>
              </w:rPr>
              <w:t>American Rescue Plan Act’s (</w:t>
            </w:r>
            <w:r w:rsidRPr="00D42F62">
              <w:rPr>
                <w:rFonts w:eastAsia="Times New Roman"/>
                <w:iCs/>
                <w:szCs w:val="20"/>
              </w:rPr>
              <w:t>ARP</w:t>
            </w:r>
            <w:r w:rsidR="0092263C">
              <w:rPr>
                <w:rFonts w:eastAsia="Times New Roman"/>
                <w:iCs/>
                <w:szCs w:val="20"/>
              </w:rPr>
              <w:t>)</w:t>
            </w:r>
            <w:r w:rsidRPr="00D42F62">
              <w:rPr>
                <w:rFonts w:eastAsia="Times New Roman"/>
                <w:iCs/>
                <w:szCs w:val="20"/>
              </w:rPr>
              <w:t xml:space="preserve"> postpartum coverage option </w:t>
            </w:r>
            <w:r w:rsidR="0092263C">
              <w:rPr>
                <w:rFonts w:eastAsia="Times New Roman"/>
                <w:iCs/>
                <w:szCs w:val="20"/>
              </w:rPr>
              <w:t>in</w:t>
            </w:r>
            <w:r w:rsidR="0092263C" w:rsidRPr="00D42F62">
              <w:rPr>
                <w:rFonts w:eastAsia="Times New Roman"/>
                <w:iCs/>
                <w:szCs w:val="20"/>
              </w:rPr>
              <w:t xml:space="preserve"> </w:t>
            </w:r>
            <w:r w:rsidRPr="00D42F62">
              <w:rPr>
                <w:rFonts w:eastAsia="Times New Roman"/>
                <w:iCs/>
                <w:szCs w:val="20"/>
              </w:rPr>
              <w:t xml:space="preserve">April 2022 </w:t>
            </w:r>
            <w:r w:rsidR="0092263C">
              <w:rPr>
                <w:rFonts w:eastAsia="Times New Roman"/>
                <w:iCs/>
                <w:szCs w:val="20"/>
              </w:rPr>
              <w:t>(</w:t>
            </w:r>
            <w:r w:rsidRPr="00D42F62">
              <w:rPr>
                <w:rFonts w:eastAsia="Times New Roman"/>
                <w:iCs/>
                <w:szCs w:val="20"/>
              </w:rPr>
              <w:t>effective date</w:t>
            </w:r>
            <w:r w:rsidR="0092263C">
              <w:rPr>
                <w:rFonts w:eastAsia="Times New Roman"/>
                <w:iCs/>
                <w:szCs w:val="20"/>
              </w:rPr>
              <w:t>)</w:t>
            </w:r>
            <w:r w:rsidR="00F1624D">
              <w:rPr>
                <w:rFonts w:eastAsia="Times New Roman"/>
                <w:iCs/>
                <w:szCs w:val="20"/>
              </w:rPr>
              <w:t xml:space="preserve"> and coordinate eligibility re-determination</w:t>
            </w:r>
            <w:r w:rsidR="0092263C">
              <w:rPr>
                <w:rFonts w:eastAsia="Times New Roman"/>
                <w:iCs/>
                <w:szCs w:val="20"/>
              </w:rPr>
              <w:t>s</w:t>
            </w:r>
            <w:r w:rsidR="00F1624D">
              <w:rPr>
                <w:rFonts w:eastAsia="Times New Roman"/>
                <w:iCs/>
                <w:szCs w:val="20"/>
              </w:rPr>
              <w:t xml:space="preserve"> for people who are beyond 60 days postpartum</w:t>
            </w:r>
            <w:r w:rsidR="008E3D9E" w:rsidRPr="00A72D59">
              <w:rPr>
                <w:rFonts w:eastAsia="Times New Roman"/>
                <w:iCs/>
                <w:szCs w:val="20"/>
              </w:rPr>
              <w:t xml:space="preserve"> (Eligibility SPA)</w:t>
            </w:r>
          </w:p>
        </w:tc>
        <w:tc>
          <w:tcPr>
            <w:tcW w:w="781" w:type="pct"/>
            <w:tcBorders>
              <w:top w:val="single" w:sz="4" w:space="0" w:color="000000" w:themeColor="text1"/>
              <w:bottom w:val="single" w:sz="4" w:space="0" w:color="000000" w:themeColor="text1"/>
            </w:tcBorders>
          </w:tcPr>
          <w:p w14:paraId="4E815760" w14:textId="0520F697" w:rsidR="00335339" w:rsidRDefault="00335339" w:rsidP="00DA2575">
            <w:pPr>
              <w:pStyle w:val="bodytextcontinued0"/>
              <w:numPr>
                <w:ilvl w:val="0"/>
                <w:numId w:val="6"/>
              </w:numPr>
              <w:spacing w:after="0"/>
              <w:rPr>
                <w:rFonts w:cstheme="minorHAnsi"/>
                <w:iCs/>
                <w:szCs w:val="20"/>
              </w:rPr>
            </w:pPr>
            <w:r w:rsidRPr="00D42F62">
              <w:rPr>
                <w:rFonts w:cstheme="minorHAnsi"/>
                <w:b/>
                <w:bCs/>
                <w:iCs/>
                <w:szCs w:val="20"/>
              </w:rPr>
              <w:t>E&amp;E:</w:t>
            </w:r>
            <w:r w:rsidRPr="00D42F62">
              <w:rPr>
                <w:rFonts w:cstheme="minorHAnsi"/>
                <w:iCs/>
                <w:szCs w:val="20"/>
              </w:rPr>
              <w:t xml:space="preserve"> Implement system change to extend redetermination date to after April 2022 and before end of </w:t>
            </w:r>
            <w:r w:rsidR="00BF44BE">
              <w:rPr>
                <w:rFonts w:cstheme="minorHAnsi"/>
                <w:iCs/>
                <w:szCs w:val="20"/>
              </w:rPr>
              <w:t>continuous enrollment condition</w:t>
            </w:r>
            <w:r w:rsidR="00F63739">
              <w:rPr>
                <w:rFonts w:cstheme="minorHAnsi"/>
                <w:iCs/>
                <w:szCs w:val="20"/>
              </w:rPr>
              <w:t xml:space="preserve"> </w:t>
            </w:r>
            <w:r w:rsidRPr="00D42F62">
              <w:rPr>
                <w:rFonts w:cstheme="minorHAnsi"/>
                <w:iCs/>
                <w:szCs w:val="20"/>
              </w:rPr>
              <w:t xml:space="preserve">+ 12 months </w:t>
            </w:r>
          </w:p>
          <w:p w14:paraId="5301E799" w14:textId="77777777" w:rsidR="000F4262" w:rsidRPr="000F4262" w:rsidRDefault="00D12E04" w:rsidP="00DA2575">
            <w:pPr>
              <w:pStyle w:val="bodytextcontinued0"/>
              <w:numPr>
                <w:ilvl w:val="0"/>
                <w:numId w:val="6"/>
              </w:numPr>
              <w:spacing w:after="0"/>
              <w:rPr>
                <w:rFonts w:cstheme="minorHAnsi"/>
                <w:iCs/>
                <w:szCs w:val="20"/>
              </w:rPr>
            </w:pPr>
            <w:r>
              <w:rPr>
                <w:rFonts w:cstheme="minorHAnsi"/>
                <w:b/>
                <w:bCs/>
                <w:iCs/>
                <w:szCs w:val="20"/>
              </w:rPr>
              <w:t xml:space="preserve">Other: </w:t>
            </w:r>
            <w:r w:rsidR="000F4262" w:rsidRPr="000F4262">
              <w:rPr>
                <w:rFonts w:cstheme="minorHAnsi"/>
                <w:iCs/>
                <w:szCs w:val="20"/>
              </w:rPr>
              <w:t>Develop notice language</w:t>
            </w:r>
          </w:p>
        </w:tc>
        <w:tc>
          <w:tcPr>
            <w:tcW w:w="953" w:type="pct"/>
            <w:tcBorders>
              <w:top w:val="single" w:sz="4" w:space="0" w:color="000000" w:themeColor="text1"/>
              <w:bottom w:val="single" w:sz="4" w:space="0" w:color="000000" w:themeColor="text1"/>
            </w:tcBorders>
          </w:tcPr>
          <w:p w14:paraId="0B1EBDBD" w14:textId="77777777" w:rsidR="00335339" w:rsidRPr="00D42F62" w:rsidRDefault="00335339" w:rsidP="00DA2575">
            <w:pPr>
              <w:pStyle w:val="bodytextcontinued0"/>
              <w:numPr>
                <w:ilvl w:val="0"/>
                <w:numId w:val="6"/>
              </w:numPr>
              <w:spacing w:after="0"/>
              <w:rPr>
                <w:rFonts w:cstheme="minorHAnsi"/>
                <w:b/>
                <w:bCs/>
                <w:iCs/>
                <w:szCs w:val="20"/>
              </w:rPr>
            </w:pPr>
            <w:r w:rsidRPr="00D42F62">
              <w:rPr>
                <w:rFonts w:cstheme="minorHAnsi"/>
                <w:b/>
                <w:bCs/>
                <w:iCs/>
                <w:szCs w:val="20"/>
              </w:rPr>
              <w:t xml:space="preserve">Approach: </w:t>
            </w:r>
            <w:r w:rsidRPr="00D42F62">
              <w:rPr>
                <w:rFonts w:cstheme="minorHAnsi"/>
                <w:iCs/>
                <w:szCs w:val="20"/>
              </w:rPr>
              <w:t>Stage renewal actions to start April 2022</w:t>
            </w:r>
          </w:p>
          <w:p w14:paraId="3561B761" w14:textId="1EA398FF" w:rsidR="00335339" w:rsidRPr="00D42F62" w:rsidRDefault="00335339" w:rsidP="00DA2575">
            <w:pPr>
              <w:pStyle w:val="bodytextcontinued0"/>
              <w:numPr>
                <w:ilvl w:val="0"/>
                <w:numId w:val="6"/>
              </w:numPr>
              <w:spacing w:after="0"/>
              <w:rPr>
                <w:rFonts w:cstheme="minorHAnsi"/>
                <w:b/>
                <w:bCs/>
                <w:iCs/>
                <w:szCs w:val="20"/>
              </w:rPr>
            </w:pPr>
            <w:r w:rsidRPr="00D42F62">
              <w:rPr>
                <w:rFonts w:cstheme="minorHAnsi"/>
                <w:b/>
                <w:bCs/>
                <w:iCs/>
                <w:szCs w:val="20"/>
              </w:rPr>
              <w:t>Target:</w:t>
            </w:r>
            <w:r w:rsidR="00E73D99">
              <w:rPr>
                <w:rFonts w:cstheme="minorHAnsi"/>
                <w:iCs/>
                <w:szCs w:val="20"/>
              </w:rPr>
              <w:t xml:space="preserve"> </w:t>
            </w:r>
            <w:r w:rsidRPr="00D42F62">
              <w:rPr>
                <w:rFonts w:cstheme="minorHAnsi"/>
                <w:iCs/>
                <w:szCs w:val="20"/>
              </w:rPr>
              <w:t>Complete by end of 6</w:t>
            </w:r>
            <w:r w:rsidR="007C7AB9">
              <w:rPr>
                <w:rFonts w:cstheme="minorHAnsi"/>
                <w:iCs/>
                <w:szCs w:val="20"/>
              </w:rPr>
              <w:t>th</w:t>
            </w:r>
            <w:r w:rsidRPr="00D42F62">
              <w:rPr>
                <w:rFonts w:cstheme="minorHAnsi"/>
                <w:iCs/>
                <w:szCs w:val="20"/>
              </w:rPr>
              <w:t xml:space="preserve"> month</w:t>
            </w:r>
            <w:r w:rsidR="0092263C">
              <w:rPr>
                <w:rFonts w:cstheme="minorHAnsi"/>
                <w:iCs/>
                <w:szCs w:val="20"/>
              </w:rPr>
              <w:t xml:space="preserve"> after the </w:t>
            </w:r>
            <w:r w:rsidR="00BF44BE">
              <w:rPr>
                <w:rFonts w:cstheme="minorHAnsi"/>
                <w:iCs/>
                <w:szCs w:val="20"/>
              </w:rPr>
              <w:t>continuous enrollment condition</w:t>
            </w:r>
            <w:r w:rsidR="0092263C">
              <w:rPr>
                <w:rFonts w:cstheme="minorHAnsi"/>
                <w:iCs/>
                <w:szCs w:val="20"/>
              </w:rPr>
              <w:t xml:space="preserve"> ends</w:t>
            </w:r>
          </w:p>
        </w:tc>
        <w:tc>
          <w:tcPr>
            <w:tcW w:w="531" w:type="pct"/>
            <w:tcBorders>
              <w:top w:val="single" w:sz="4" w:space="0" w:color="000000" w:themeColor="text1"/>
              <w:bottom w:val="single" w:sz="4" w:space="0" w:color="000000" w:themeColor="text1"/>
            </w:tcBorders>
          </w:tcPr>
          <w:p w14:paraId="00C4D52A" w14:textId="77777777" w:rsidR="00335339" w:rsidRPr="00D42F62" w:rsidRDefault="00335339" w:rsidP="00CD4224">
            <w:pPr>
              <w:pStyle w:val="bodytextcontinued0"/>
              <w:spacing w:after="0"/>
              <w:ind w:left="360"/>
              <w:rPr>
                <w:rFonts w:cstheme="minorHAnsi"/>
                <w:i w:val="0"/>
                <w:iCs/>
                <w:szCs w:val="20"/>
              </w:rPr>
            </w:pPr>
          </w:p>
        </w:tc>
      </w:tr>
      <w:tr w:rsidR="00335339" w:rsidRPr="00BA3B2D" w14:paraId="74499A65" w14:textId="77777777" w:rsidTr="0074275D">
        <w:trPr>
          <w:trHeight w:val="800"/>
        </w:trPr>
        <w:tc>
          <w:tcPr>
            <w:tcW w:w="917" w:type="pct"/>
            <w:tcBorders>
              <w:top w:val="single" w:sz="4" w:space="0" w:color="000000" w:themeColor="text1"/>
              <w:bottom w:val="single" w:sz="4" w:space="0" w:color="000000" w:themeColor="text1"/>
            </w:tcBorders>
          </w:tcPr>
          <w:p w14:paraId="1A8C7598" w14:textId="05313FF0" w:rsidR="00335339" w:rsidRPr="00D42F62" w:rsidRDefault="00335339" w:rsidP="00CD4224">
            <w:pPr>
              <w:pStyle w:val="bodytextcontinued0"/>
              <w:spacing w:after="0"/>
              <w:rPr>
                <w:rFonts w:cstheme="minorHAnsi"/>
                <w:szCs w:val="20"/>
              </w:rPr>
            </w:pPr>
            <w:r w:rsidRPr="00D42F62">
              <w:rPr>
                <w:b/>
                <w:iCs/>
                <w:szCs w:val="20"/>
              </w:rPr>
              <w:t>Example:</w:t>
            </w:r>
            <w:r w:rsidR="00E73D99">
              <w:rPr>
                <w:b/>
                <w:iCs/>
                <w:szCs w:val="20"/>
              </w:rPr>
              <w:t xml:space="preserve"> </w:t>
            </w:r>
            <w:r w:rsidRPr="00D42F62">
              <w:rPr>
                <w:rFonts w:cstheme="minorHAnsi"/>
                <w:szCs w:val="20"/>
              </w:rPr>
              <w:t xml:space="preserve">Individuals determined eligible for Medicaid during </w:t>
            </w:r>
            <w:r w:rsidR="00BF44BE">
              <w:rPr>
                <w:rFonts w:cstheme="minorHAnsi"/>
                <w:szCs w:val="20"/>
              </w:rPr>
              <w:t>continuous enrollment condition</w:t>
            </w:r>
            <w:r w:rsidR="004B4D59">
              <w:rPr>
                <w:rFonts w:cstheme="minorHAnsi"/>
                <w:szCs w:val="20"/>
              </w:rPr>
              <w:t xml:space="preserve"> </w:t>
            </w:r>
            <w:r w:rsidRPr="00D42F62">
              <w:rPr>
                <w:rFonts w:cstheme="minorHAnsi"/>
                <w:szCs w:val="20"/>
              </w:rPr>
              <w:t>through a temporary eligibility category</w:t>
            </w:r>
          </w:p>
        </w:tc>
        <w:tc>
          <w:tcPr>
            <w:tcW w:w="701" w:type="pct"/>
            <w:tcBorders>
              <w:top w:val="single" w:sz="4" w:space="0" w:color="000000" w:themeColor="text1"/>
              <w:bottom w:val="single" w:sz="4" w:space="0" w:color="000000" w:themeColor="text1"/>
            </w:tcBorders>
          </w:tcPr>
          <w:p w14:paraId="1987F55E" w14:textId="77777777" w:rsidR="00335339" w:rsidRPr="00D42F62" w:rsidRDefault="00335339" w:rsidP="00DA2575">
            <w:pPr>
              <w:pStyle w:val="bodytextcontinued0"/>
              <w:numPr>
                <w:ilvl w:val="0"/>
                <w:numId w:val="17"/>
              </w:numPr>
              <w:spacing w:after="0"/>
              <w:rPr>
                <w:rFonts w:cstheme="minorHAnsi"/>
                <w:i w:val="0"/>
                <w:szCs w:val="20"/>
              </w:rPr>
            </w:pPr>
            <w:r w:rsidRPr="00D42F62">
              <w:rPr>
                <w:rFonts w:cstheme="minorHAnsi"/>
                <w:iCs/>
                <w:szCs w:val="20"/>
              </w:rPr>
              <w:t xml:space="preserve">Identified </w:t>
            </w:r>
            <w:r w:rsidR="0092263C">
              <w:rPr>
                <w:rFonts w:cstheme="minorHAnsi"/>
                <w:iCs/>
                <w:szCs w:val="20"/>
              </w:rPr>
              <w:t xml:space="preserve">individuals </w:t>
            </w:r>
            <w:r w:rsidRPr="00D42F62">
              <w:rPr>
                <w:rFonts w:cstheme="minorHAnsi"/>
                <w:iCs/>
                <w:szCs w:val="20"/>
              </w:rPr>
              <w:t xml:space="preserve">determined eligible through </w:t>
            </w:r>
            <w:r w:rsidR="0092263C">
              <w:rPr>
                <w:rFonts w:cstheme="minorHAnsi"/>
                <w:iCs/>
                <w:szCs w:val="20"/>
              </w:rPr>
              <w:t xml:space="preserve">a </w:t>
            </w:r>
            <w:r w:rsidRPr="00D42F62">
              <w:rPr>
                <w:rFonts w:cstheme="minorHAnsi"/>
                <w:iCs/>
                <w:szCs w:val="20"/>
              </w:rPr>
              <w:t>temporary eligibility category</w:t>
            </w:r>
          </w:p>
        </w:tc>
        <w:tc>
          <w:tcPr>
            <w:tcW w:w="1117" w:type="pct"/>
            <w:tcBorders>
              <w:top w:val="single" w:sz="4" w:space="0" w:color="000000" w:themeColor="text1"/>
              <w:bottom w:val="single" w:sz="4" w:space="0" w:color="000000" w:themeColor="text1"/>
            </w:tcBorders>
          </w:tcPr>
          <w:p w14:paraId="0FDCC844" w14:textId="714CCF3B" w:rsidR="00335339" w:rsidRPr="00D42F62" w:rsidRDefault="00335339" w:rsidP="00DA2575">
            <w:pPr>
              <w:pStyle w:val="bodytextcontinued0"/>
              <w:numPr>
                <w:ilvl w:val="0"/>
                <w:numId w:val="9"/>
              </w:numPr>
              <w:spacing w:after="0"/>
              <w:rPr>
                <w:rFonts w:cstheme="minorHAnsi"/>
                <w:szCs w:val="20"/>
              </w:rPr>
            </w:pPr>
            <w:r w:rsidRPr="00D42F62">
              <w:rPr>
                <w:rFonts w:cstheme="minorHAnsi"/>
                <w:szCs w:val="20"/>
              </w:rPr>
              <w:t>Rely on SNAP recertification income determination for MAGI individuals (Facilitated Enrollment SPA)</w:t>
            </w:r>
          </w:p>
          <w:p w14:paraId="23FBA1DF" w14:textId="77777777" w:rsidR="00335339" w:rsidRPr="00D42F62" w:rsidRDefault="00335339" w:rsidP="00CD4224">
            <w:pPr>
              <w:pStyle w:val="bodytextcontinued0"/>
              <w:spacing w:after="0"/>
              <w:ind w:left="360"/>
              <w:rPr>
                <w:rFonts w:cstheme="minorHAnsi"/>
                <w:color w:val="7F7F7F" w:themeColor="text1" w:themeTint="80"/>
                <w:szCs w:val="20"/>
              </w:rPr>
            </w:pPr>
          </w:p>
        </w:tc>
        <w:tc>
          <w:tcPr>
            <w:tcW w:w="781" w:type="pct"/>
            <w:tcBorders>
              <w:top w:val="single" w:sz="4" w:space="0" w:color="000000" w:themeColor="text1"/>
              <w:bottom w:val="single" w:sz="4" w:space="0" w:color="000000" w:themeColor="text1"/>
            </w:tcBorders>
          </w:tcPr>
          <w:p w14:paraId="077DBCF2" w14:textId="77777777" w:rsidR="00335339" w:rsidRPr="00D42F62" w:rsidRDefault="00335339" w:rsidP="00DA2575">
            <w:pPr>
              <w:pStyle w:val="bodytextcontinued0"/>
              <w:numPr>
                <w:ilvl w:val="0"/>
                <w:numId w:val="6"/>
              </w:numPr>
              <w:spacing w:after="0"/>
              <w:rPr>
                <w:rFonts w:cstheme="minorHAnsi"/>
                <w:color w:val="7F7F7F" w:themeColor="text1" w:themeTint="80"/>
                <w:szCs w:val="20"/>
              </w:rPr>
            </w:pPr>
            <w:r w:rsidRPr="00D42F62">
              <w:rPr>
                <w:rFonts w:cstheme="minorHAnsi"/>
                <w:iCs/>
                <w:szCs w:val="20"/>
              </w:rPr>
              <w:t>Coordinate with human services agency to identify individuals who are also enrolled in SNAP</w:t>
            </w:r>
          </w:p>
          <w:p w14:paraId="7DC65256" w14:textId="77777777" w:rsidR="00335339" w:rsidRPr="00D42F62" w:rsidRDefault="00335339" w:rsidP="00DA2575">
            <w:pPr>
              <w:pStyle w:val="bodytextcontinued0"/>
              <w:numPr>
                <w:ilvl w:val="0"/>
                <w:numId w:val="6"/>
              </w:numPr>
              <w:spacing w:after="0"/>
              <w:rPr>
                <w:rFonts w:cstheme="minorHAnsi"/>
                <w:color w:val="7F7F7F" w:themeColor="text1" w:themeTint="80"/>
                <w:szCs w:val="20"/>
              </w:rPr>
            </w:pPr>
            <w:r w:rsidRPr="00D42F62">
              <w:rPr>
                <w:rFonts w:cstheme="minorHAnsi"/>
                <w:b/>
                <w:bCs/>
                <w:iCs/>
                <w:szCs w:val="20"/>
              </w:rPr>
              <w:t>E&amp;E:</w:t>
            </w:r>
            <w:r w:rsidRPr="00D42F62">
              <w:rPr>
                <w:rFonts w:cstheme="minorHAnsi"/>
                <w:iCs/>
                <w:szCs w:val="20"/>
              </w:rPr>
              <w:t xml:space="preserve"> Implement system changes to align Medicaid redetermination date with SNAP redetermination date</w:t>
            </w:r>
          </w:p>
        </w:tc>
        <w:tc>
          <w:tcPr>
            <w:tcW w:w="953" w:type="pct"/>
            <w:tcBorders>
              <w:top w:val="single" w:sz="4" w:space="0" w:color="000000" w:themeColor="text1"/>
              <w:bottom w:val="single" w:sz="4" w:space="0" w:color="000000" w:themeColor="text1"/>
            </w:tcBorders>
          </w:tcPr>
          <w:p w14:paraId="3C519B33" w14:textId="02DA9DF4" w:rsidR="00335339" w:rsidRPr="00D42F62" w:rsidRDefault="00335339" w:rsidP="00DA2575">
            <w:pPr>
              <w:pStyle w:val="bodytextcontinued0"/>
              <w:numPr>
                <w:ilvl w:val="0"/>
                <w:numId w:val="6"/>
              </w:numPr>
              <w:spacing w:after="0"/>
              <w:rPr>
                <w:rFonts w:cstheme="minorHAnsi"/>
                <w:b/>
                <w:bCs/>
                <w:iCs/>
                <w:szCs w:val="20"/>
              </w:rPr>
            </w:pPr>
            <w:r w:rsidRPr="00D42F62">
              <w:rPr>
                <w:rFonts w:cstheme="minorHAnsi"/>
                <w:b/>
                <w:bCs/>
                <w:iCs/>
                <w:szCs w:val="20"/>
              </w:rPr>
              <w:t>Approach:</w:t>
            </w:r>
            <w:r w:rsidR="00E73D99">
              <w:rPr>
                <w:rFonts w:cstheme="minorHAnsi"/>
                <w:b/>
                <w:bCs/>
                <w:iCs/>
                <w:szCs w:val="20"/>
              </w:rPr>
              <w:t xml:space="preserve"> </w:t>
            </w:r>
            <w:r w:rsidRPr="00D42F62">
              <w:rPr>
                <w:rFonts w:cstheme="minorHAnsi"/>
                <w:szCs w:val="20"/>
              </w:rPr>
              <w:t xml:space="preserve">Align action on </w:t>
            </w:r>
            <w:r w:rsidR="0040364C">
              <w:rPr>
                <w:rFonts w:cstheme="minorHAnsi"/>
                <w:szCs w:val="20"/>
              </w:rPr>
              <w:t xml:space="preserve">processing </w:t>
            </w:r>
            <w:r w:rsidRPr="00D42F62">
              <w:rPr>
                <w:rFonts w:cstheme="minorHAnsi"/>
                <w:szCs w:val="20"/>
              </w:rPr>
              <w:t>renewals for</w:t>
            </w:r>
            <w:r w:rsidR="00422B55" w:rsidRPr="00612F52">
              <w:rPr>
                <w:rFonts w:eastAsia="Times New Roman" w:cstheme="minorHAnsi"/>
                <w:lang w:bidi="en-US"/>
              </w:rPr>
              <w:t xml:space="preserve"> individuals enrolled in Medicaid</w:t>
            </w:r>
            <w:r w:rsidR="00422B55">
              <w:t xml:space="preserve">, CHIP, </w:t>
            </w:r>
            <w:r w:rsidR="006A77A5">
              <w:t>or</w:t>
            </w:r>
            <w:r w:rsidR="00422B55">
              <w:t xml:space="preserve"> BHP</w:t>
            </w:r>
            <w:r w:rsidR="00422B55">
              <w:rPr>
                <w:rFonts w:eastAsia="Times New Roman" w:cstheme="minorHAnsi"/>
                <w:lang w:bidi="en-US"/>
              </w:rPr>
              <w:t xml:space="preserve"> </w:t>
            </w:r>
            <w:r w:rsidRPr="00D42F62">
              <w:rPr>
                <w:rFonts w:cstheme="minorHAnsi"/>
                <w:szCs w:val="20"/>
              </w:rPr>
              <w:t>who are also enrolled in SNAP with SNAP recertification and rely on SNAP income determination for MAGI individuals</w:t>
            </w:r>
          </w:p>
          <w:p w14:paraId="21BBCF9E" w14:textId="4D6E90BC" w:rsidR="00335339" w:rsidRPr="00D42F62" w:rsidRDefault="00335339" w:rsidP="00DA2575">
            <w:pPr>
              <w:pStyle w:val="bodytextcontinued0"/>
              <w:numPr>
                <w:ilvl w:val="0"/>
                <w:numId w:val="6"/>
              </w:numPr>
              <w:spacing w:after="0"/>
              <w:rPr>
                <w:rFonts w:cstheme="minorHAnsi"/>
                <w:szCs w:val="20"/>
              </w:rPr>
            </w:pPr>
            <w:r w:rsidRPr="00D42F62">
              <w:rPr>
                <w:rFonts w:cstheme="minorHAnsi"/>
                <w:b/>
                <w:bCs/>
                <w:iCs/>
                <w:szCs w:val="20"/>
              </w:rPr>
              <w:t>Target:</w:t>
            </w:r>
            <w:r w:rsidRPr="00D42F62">
              <w:rPr>
                <w:rFonts w:cstheme="minorHAnsi"/>
                <w:iCs/>
                <w:szCs w:val="20"/>
              </w:rPr>
              <w:t xml:space="preserve"> Complete by end of </w:t>
            </w:r>
            <w:r w:rsidR="007C7AB9">
              <w:rPr>
                <w:rFonts w:cstheme="minorHAnsi"/>
                <w:iCs/>
                <w:szCs w:val="20"/>
              </w:rPr>
              <w:t xml:space="preserve">the </w:t>
            </w:r>
            <w:r w:rsidRPr="00D42F62">
              <w:rPr>
                <w:rFonts w:cstheme="minorHAnsi"/>
                <w:iCs/>
                <w:szCs w:val="20"/>
              </w:rPr>
              <w:t>12</w:t>
            </w:r>
            <w:r w:rsidR="007C7AB9">
              <w:rPr>
                <w:rFonts w:cstheme="minorHAnsi"/>
                <w:iCs/>
                <w:szCs w:val="20"/>
              </w:rPr>
              <w:t>th</w:t>
            </w:r>
            <w:r w:rsidRPr="00D42F62">
              <w:rPr>
                <w:rFonts w:cstheme="minorHAnsi"/>
                <w:iCs/>
                <w:szCs w:val="20"/>
              </w:rPr>
              <w:t xml:space="preserve"> month</w:t>
            </w:r>
            <w:r w:rsidR="007C7AB9">
              <w:rPr>
                <w:rFonts w:cstheme="minorHAnsi"/>
                <w:iCs/>
                <w:szCs w:val="20"/>
              </w:rPr>
              <w:t xml:space="preserve"> after the </w:t>
            </w:r>
            <w:r w:rsidR="00BF44BE">
              <w:rPr>
                <w:rFonts w:cstheme="minorHAnsi"/>
                <w:iCs/>
                <w:szCs w:val="20"/>
              </w:rPr>
              <w:t>continuous enrollment condition</w:t>
            </w:r>
            <w:r w:rsidR="007C7AB9">
              <w:rPr>
                <w:rFonts w:cstheme="minorHAnsi"/>
                <w:iCs/>
                <w:szCs w:val="20"/>
              </w:rPr>
              <w:t xml:space="preserve"> ends</w:t>
            </w:r>
          </w:p>
        </w:tc>
        <w:tc>
          <w:tcPr>
            <w:tcW w:w="531" w:type="pct"/>
            <w:tcBorders>
              <w:top w:val="single" w:sz="4" w:space="0" w:color="000000" w:themeColor="text1"/>
              <w:bottom w:val="single" w:sz="4" w:space="0" w:color="000000" w:themeColor="text1"/>
            </w:tcBorders>
          </w:tcPr>
          <w:p w14:paraId="3D189CF1" w14:textId="77777777" w:rsidR="00335339" w:rsidRPr="00606F36" w:rsidRDefault="00335339" w:rsidP="00DA2575">
            <w:pPr>
              <w:pStyle w:val="bodytextcontinued0"/>
              <w:numPr>
                <w:ilvl w:val="0"/>
                <w:numId w:val="6"/>
              </w:numPr>
              <w:spacing w:after="0"/>
              <w:rPr>
                <w:rFonts w:cstheme="minorHAnsi"/>
                <w:iCs/>
                <w:szCs w:val="20"/>
              </w:rPr>
            </w:pPr>
            <w:r w:rsidRPr="00606F36">
              <w:rPr>
                <w:rFonts w:cstheme="minorHAnsi"/>
                <w:iCs/>
                <w:szCs w:val="20"/>
              </w:rPr>
              <w:t>Ensure account</w:t>
            </w:r>
            <w:r w:rsidR="001F0434" w:rsidRPr="00606F36">
              <w:rPr>
                <w:rFonts w:cstheme="minorHAnsi"/>
                <w:iCs/>
                <w:szCs w:val="20"/>
              </w:rPr>
              <w:t xml:space="preserve">s are </w:t>
            </w:r>
            <w:r w:rsidRPr="00606F36">
              <w:rPr>
                <w:rFonts w:cstheme="minorHAnsi"/>
                <w:iCs/>
                <w:szCs w:val="20"/>
              </w:rPr>
              <w:t>transfer</w:t>
            </w:r>
            <w:r w:rsidR="00BF3C25" w:rsidRPr="00606F36">
              <w:rPr>
                <w:rFonts w:cstheme="minorHAnsi"/>
                <w:iCs/>
                <w:szCs w:val="20"/>
              </w:rPr>
              <w:t>r</w:t>
            </w:r>
            <w:r w:rsidR="001F0434" w:rsidRPr="00606F36">
              <w:rPr>
                <w:rFonts w:cstheme="minorHAnsi"/>
                <w:iCs/>
                <w:szCs w:val="20"/>
              </w:rPr>
              <w:t>ed</w:t>
            </w:r>
            <w:r w:rsidRPr="00606F36">
              <w:rPr>
                <w:rFonts w:cstheme="minorHAnsi"/>
                <w:iCs/>
                <w:szCs w:val="20"/>
              </w:rPr>
              <w:t xml:space="preserve"> are for Marketplace coverage</w:t>
            </w:r>
          </w:p>
        </w:tc>
      </w:tr>
      <w:bookmarkEnd w:id="4"/>
    </w:tbl>
    <w:p w14:paraId="46B51485" w14:textId="77777777" w:rsidR="00796B23" w:rsidRPr="008B6949" w:rsidRDefault="00796B23" w:rsidP="008B6949">
      <w:pPr>
        <w:rPr>
          <w:rFonts w:asciiTheme="minorHAnsi" w:hAnsiTheme="minorHAnsi"/>
          <w:sz w:val="20"/>
        </w:rPr>
      </w:pPr>
    </w:p>
    <w:p w14:paraId="2BE107A9" w14:textId="77777777" w:rsidR="00C95994" w:rsidRPr="008B6949" w:rsidRDefault="00C95994" w:rsidP="00C95994">
      <w:pPr>
        <w:pStyle w:val="ListParagraph"/>
        <w:tabs>
          <w:tab w:val="left" w:pos="720"/>
        </w:tabs>
      </w:pPr>
    </w:p>
    <w:p w14:paraId="72EFB3F6" w14:textId="77777777" w:rsidR="00A50A73" w:rsidRPr="001003D4" w:rsidRDefault="00A50A73" w:rsidP="00DA2575">
      <w:pPr>
        <w:pStyle w:val="ListParagraph"/>
        <w:numPr>
          <w:ilvl w:val="1"/>
          <w:numId w:val="4"/>
        </w:numPr>
        <w:tabs>
          <w:tab w:val="left" w:pos="720"/>
        </w:tabs>
      </w:pPr>
      <w:r w:rsidRPr="001003D4">
        <w:rPr>
          <w:rFonts w:asciiTheme="majorHAnsi" w:hAnsiTheme="majorHAnsi" w:cstheme="minorHAnsi"/>
          <w:b/>
          <w:bCs/>
          <w:i/>
          <w:iCs/>
          <w:color w:val="365F91" w:themeColor="accent1" w:themeShade="BF"/>
          <w:sz w:val="28"/>
          <w:szCs w:val="28"/>
        </w:rPr>
        <w:t>Assessment and Approach: Application Processing</w:t>
      </w:r>
    </w:p>
    <w:p w14:paraId="70D7CED6" w14:textId="77777777" w:rsidR="00A50A73" w:rsidRPr="001003D4" w:rsidRDefault="00A50A73" w:rsidP="00A50A73">
      <w:pPr>
        <w:rPr>
          <w:rFonts w:asciiTheme="minorHAnsi" w:hAnsiTheme="minorHAnsi" w:cstheme="minorHAnsi"/>
          <w:sz w:val="20"/>
          <w:szCs w:val="20"/>
        </w:rPr>
      </w:pPr>
    </w:p>
    <w:p w14:paraId="2226EC4B" w14:textId="77777777" w:rsidR="00A50A73" w:rsidRPr="001003D4" w:rsidRDefault="00A50A73" w:rsidP="00A50A73">
      <w:pPr>
        <w:ind w:left="1080"/>
        <w:rPr>
          <w:rFonts w:asciiTheme="minorHAnsi" w:hAnsiTheme="minorHAnsi" w:cstheme="minorHAnsi"/>
          <w:i/>
          <w:iCs/>
          <w:sz w:val="20"/>
          <w:szCs w:val="20"/>
        </w:rPr>
      </w:pPr>
      <w:r w:rsidRPr="001003D4">
        <w:rPr>
          <w:i/>
          <w:iCs/>
        </w:rPr>
        <w:t>Use t</w:t>
      </w:r>
      <w:r w:rsidRPr="001003D4">
        <w:rPr>
          <w:rFonts w:asciiTheme="minorHAnsi" w:hAnsiTheme="minorHAnsi" w:cstheme="minorHAnsi"/>
          <w:i/>
          <w:iCs/>
        </w:rPr>
        <w:t xml:space="preserve">his section if the state has </w:t>
      </w:r>
      <w:r>
        <w:rPr>
          <w:rFonts w:asciiTheme="minorHAnsi" w:hAnsiTheme="minorHAnsi" w:cstheme="minorHAnsi"/>
          <w:i/>
          <w:iCs/>
        </w:rPr>
        <w:t>any pending applications</w:t>
      </w:r>
      <w:r w:rsidRPr="001003D4">
        <w:rPr>
          <w:rFonts w:asciiTheme="minorHAnsi" w:hAnsiTheme="minorHAnsi" w:cstheme="minorHAnsi"/>
          <w:i/>
          <w:iCs/>
        </w:rPr>
        <w:t>.</w:t>
      </w:r>
    </w:p>
    <w:p w14:paraId="4A43B929" w14:textId="77777777" w:rsidR="00A50A73" w:rsidRPr="001003D4" w:rsidRDefault="00A50A73" w:rsidP="00A50A73">
      <w:pPr>
        <w:ind w:left="1080"/>
        <w:rPr>
          <w:b/>
          <w:bCs/>
          <w:i/>
          <w:iCs/>
        </w:rPr>
      </w:pPr>
    </w:p>
    <w:p w14:paraId="2323316A" w14:textId="76C4BA20" w:rsidR="00964C8C" w:rsidRDefault="00A50A73" w:rsidP="00964C8C">
      <w:pPr>
        <w:ind w:left="1080"/>
      </w:pPr>
      <w:r w:rsidRPr="001003D4">
        <w:rPr>
          <w:b/>
          <w:bCs/>
        </w:rPr>
        <w:t>CMS Expectations.</w:t>
      </w:r>
      <w:r w:rsidRPr="001003D4">
        <w:t xml:space="preserve"> States must make every effort to make timely determinations of eligibility for new applicants, and therefore, CMS expects states to expeditiously process applications </w:t>
      </w:r>
      <w:r w:rsidR="00437C5A">
        <w:t>now</w:t>
      </w:r>
      <w:r w:rsidR="003C41BC">
        <w:t xml:space="preserve">. </w:t>
      </w:r>
      <w:r w:rsidRPr="001003D4">
        <w:t xml:space="preserve">However, given that states receive applications on a rolling basis, CMS anticipates that many states will have pending applications </w:t>
      </w:r>
      <w:r w:rsidR="00BA5E9D">
        <w:t xml:space="preserve">when the </w:t>
      </w:r>
      <w:r w:rsidR="00BF44BE">
        <w:t>continuous enrollment condition</w:t>
      </w:r>
      <w:r w:rsidR="00BA5E9D">
        <w:t xml:space="preserve"> is in effect</w:t>
      </w:r>
      <w:r w:rsidR="00F63739" w:rsidRPr="001003D4">
        <w:t xml:space="preserve"> </w:t>
      </w:r>
      <w:r w:rsidRPr="001003D4">
        <w:t>that remain to be processed as states restore their</w:t>
      </w:r>
      <w:r w:rsidR="009A10B7">
        <w:t xml:space="preserve"> E&amp;E</w:t>
      </w:r>
      <w:r w:rsidRPr="001003D4">
        <w:t xml:space="preserve"> operations </w:t>
      </w:r>
      <w:r w:rsidR="00CA7D60">
        <w:t>during their unwinding period</w:t>
      </w:r>
      <w:r w:rsidRPr="001003D4">
        <w:t xml:space="preserve">. </w:t>
      </w:r>
      <w:r w:rsidR="00CB0951">
        <w:t xml:space="preserve"> </w:t>
      </w:r>
      <w:r w:rsidRPr="001003D4">
        <w:t xml:space="preserve">States may use a phased approach to </w:t>
      </w:r>
      <w:r w:rsidR="00964C8C" w:rsidRPr="00964C8C">
        <w:t xml:space="preserve">complete processing of </w:t>
      </w:r>
      <w:r w:rsidR="00964C8C">
        <w:t xml:space="preserve">these </w:t>
      </w:r>
      <w:r w:rsidR="00964C8C" w:rsidRPr="00964C8C">
        <w:t xml:space="preserve">applications and resume timely and accurate determinations of eligibility on new applications within the following timelines, measured going forward from the end of the month in which the </w:t>
      </w:r>
      <w:r w:rsidR="00BF44BE">
        <w:t>continuous enrollment condition</w:t>
      </w:r>
      <w:r w:rsidR="00F63739">
        <w:t xml:space="preserve"> </w:t>
      </w:r>
      <w:r w:rsidRPr="001003D4">
        <w:t>ends.</w:t>
      </w:r>
      <w:r w:rsidR="00E73D99">
        <w:t xml:space="preserve"> </w:t>
      </w:r>
    </w:p>
    <w:p w14:paraId="0241BC2E" w14:textId="77777777" w:rsidR="001334C0" w:rsidRDefault="001334C0" w:rsidP="00964C8C">
      <w:pPr>
        <w:ind w:left="1080"/>
      </w:pPr>
    </w:p>
    <w:p w14:paraId="182B68FB" w14:textId="5131319A" w:rsidR="00964C8C" w:rsidRPr="00964C8C" w:rsidRDefault="00964C8C" w:rsidP="00DA2575">
      <w:pPr>
        <w:pStyle w:val="ListParagraph"/>
        <w:numPr>
          <w:ilvl w:val="0"/>
          <w:numId w:val="26"/>
        </w:numPr>
      </w:pPr>
      <w:r w:rsidRPr="00964C8C">
        <w:rPr>
          <w:b/>
          <w:bCs/>
        </w:rPr>
        <w:t xml:space="preserve">2 months after </w:t>
      </w:r>
      <w:r w:rsidR="00BF44BE">
        <w:rPr>
          <w:b/>
          <w:bCs/>
        </w:rPr>
        <w:t>the month in which the</w:t>
      </w:r>
      <w:r w:rsidRPr="00964C8C">
        <w:rPr>
          <w:b/>
          <w:bCs/>
        </w:rPr>
        <w:t xml:space="preserve"> PHE</w:t>
      </w:r>
      <w:r w:rsidR="00BF44BE">
        <w:rPr>
          <w:b/>
          <w:bCs/>
        </w:rPr>
        <w:t xml:space="preserve"> ends</w:t>
      </w:r>
      <w:r w:rsidRPr="00964C8C">
        <w:rPr>
          <w:b/>
          <w:bCs/>
        </w:rPr>
        <w:t xml:space="preserve">: </w:t>
      </w:r>
      <w:r w:rsidRPr="00964C8C">
        <w:rPr>
          <w:bCs/>
        </w:rPr>
        <w:t>States should complete eligibility determinations for all pending MAGI and other non-disability-related applications (e.g., individuals determined on the basis of being age 65 or older) received during the PHE.</w:t>
      </w:r>
    </w:p>
    <w:p w14:paraId="546724DF" w14:textId="0B4E9F3A" w:rsidR="00964C8C" w:rsidRPr="00964C8C" w:rsidRDefault="00964C8C" w:rsidP="00DA2575">
      <w:pPr>
        <w:pStyle w:val="ListParagraph"/>
        <w:numPr>
          <w:ilvl w:val="0"/>
          <w:numId w:val="26"/>
        </w:numPr>
      </w:pPr>
      <w:r w:rsidRPr="00964C8C">
        <w:rPr>
          <w:b/>
          <w:bCs/>
        </w:rPr>
        <w:t xml:space="preserve">3 months </w:t>
      </w:r>
      <w:r w:rsidR="00266F2A">
        <w:rPr>
          <w:b/>
          <w:bCs/>
        </w:rPr>
        <w:t xml:space="preserve">after </w:t>
      </w:r>
      <w:r w:rsidR="00BF44BE">
        <w:rPr>
          <w:b/>
          <w:bCs/>
        </w:rPr>
        <w:t>the month in which the</w:t>
      </w:r>
      <w:r w:rsidR="00BF44BE" w:rsidRPr="00964C8C">
        <w:rPr>
          <w:b/>
          <w:bCs/>
        </w:rPr>
        <w:t xml:space="preserve"> PHE</w:t>
      </w:r>
      <w:r w:rsidR="00BF44BE">
        <w:rPr>
          <w:b/>
          <w:bCs/>
        </w:rPr>
        <w:t xml:space="preserve"> ends</w:t>
      </w:r>
      <w:r w:rsidRPr="00964C8C">
        <w:rPr>
          <w:b/>
          <w:bCs/>
        </w:rPr>
        <w:t xml:space="preserve">: </w:t>
      </w:r>
      <w:r w:rsidRPr="00964C8C">
        <w:rPr>
          <w:bCs/>
        </w:rPr>
        <w:t>States should complete eligibility determinations for all pending disability-related applications received during the PHE.</w:t>
      </w:r>
    </w:p>
    <w:p w14:paraId="13FE67FD" w14:textId="5082ED90" w:rsidR="00964C8C" w:rsidRPr="00964C8C" w:rsidRDefault="00964C8C" w:rsidP="00DA2575">
      <w:pPr>
        <w:pStyle w:val="ListParagraph"/>
        <w:numPr>
          <w:ilvl w:val="0"/>
          <w:numId w:val="26"/>
        </w:numPr>
      </w:pPr>
      <w:r w:rsidRPr="00964C8C">
        <w:rPr>
          <w:b/>
          <w:bCs/>
        </w:rPr>
        <w:t xml:space="preserve">4 months </w:t>
      </w:r>
      <w:r w:rsidR="00266F2A">
        <w:rPr>
          <w:b/>
          <w:bCs/>
        </w:rPr>
        <w:t xml:space="preserve">after </w:t>
      </w:r>
      <w:r w:rsidR="00BF44BE">
        <w:rPr>
          <w:b/>
          <w:bCs/>
        </w:rPr>
        <w:t>the month in which the</w:t>
      </w:r>
      <w:r w:rsidR="00BF44BE" w:rsidRPr="00964C8C">
        <w:rPr>
          <w:b/>
          <w:bCs/>
        </w:rPr>
        <w:t xml:space="preserve"> PHE</w:t>
      </w:r>
      <w:r w:rsidR="00BF44BE">
        <w:rPr>
          <w:b/>
          <w:bCs/>
        </w:rPr>
        <w:t xml:space="preserve"> ends</w:t>
      </w:r>
      <w:r w:rsidRPr="00964C8C">
        <w:rPr>
          <w:b/>
          <w:bCs/>
        </w:rPr>
        <w:t xml:space="preserve">: </w:t>
      </w:r>
      <w:r w:rsidRPr="00964C8C">
        <w:rPr>
          <w:bCs/>
        </w:rPr>
        <w:t>States should resume timely processing of all applications.</w:t>
      </w:r>
    </w:p>
    <w:p w14:paraId="07F11A01" w14:textId="28BC08AD" w:rsidR="00A50A73" w:rsidRPr="001003D4" w:rsidRDefault="00A50A73" w:rsidP="00A50A73">
      <w:pPr>
        <w:tabs>
          <w:tab w:val="left" w:pos="810"/>
        </w:tabs>
        <w:ind w:left="1080"/>
        <w:rPr>
          <w:b/>
          <w:bCs/>
        </w:rPr>
      </w:pPr>
    </w:p>
    <w:p w14:paraId="1C5D59C5" w14:textId="77777777" w:rsidR="00D62C44" w:rsidRDefault="00A50A73" w:rsidP="00A50A73">
      <w:pPr>
        <w:tabs>
          <w:tab w:val="left" w:pos="810"/>
        </w:tabs>
        <w:ind w:left="1080"/>
      </w:pPr>
      <w:r w:rsidRPr="001003D4">
        <w:rPr>
          <w:b/>
          <w:bCs/>
        </w:rPr>
        <w:lastRenderedPageBreak/>
        <w:t xml:space="preserve">Assessment and Approach. </w:t>
      </w:r>
      <w:r>
        <w:t xml:space="preserve">Each state’s assessment and approach should be customized for the state environment. Informed by the data provided in Section I.B., </w:t>
      </w:r>
      <w:r w:rsidR="00D62C44">
        <w:t xml:space="preserve">states should: </w:t>
      </w:r>
    </w:p>
    <w:p w14:paraId="5431754C" w14:textId="77777777" w:rsidR="00D62C44" w:rsidRDefault="00D62C44" w:rsidP="00A50A73">
      <w:pPr>
        <w:tabs>
          <w:tab w:val="left" w:pos="810"/>
        </w:tabs>
        <w:ind w:left="1080"/>
      </w:pPr>
    </w:p>
    <w:p w14:paraId="477F54AE" w14:textId="13BC1B72" w:rsidR="00A50A73" w:rsidRDefault="00D62C44" w:rsidP="00DA2575">
      <w:pPr>
        <w:pStyle w:val="ListParagraph"/>
        <w:numPr>
          <w:ilvl w:val="0"/>
          <w:numId w:val="31"/>
        </w:numPr>
        <w:tabs>
          <w:tab w:val="left" w:pos="810"/>
        </w:tabs>
      </w:pPr>
      <w:r>
        <w:t>A</w:t>
      </w:r>
      <w:r w:rsidR="00A50A73">
        <w:t>ssess pending applications and consider factors such as the following in identifying and staging population groups for actions:</w:t>
      </w:r>
    </w:p>
    <w:p w14:paraId="7AE07983" w14:textId="77777777" w:rsidR="00A50A73" w:rsidRDefault="00A50A73" w:rsidP="00DA2575">
      <w:pPr>
        <w:pStyle w:val="ListParagraph"/>
        <w:numPr>
          <w:ilvl w:val="0"/>
          <w:numId w:val="32"/>
        </w:numPr>
        <w:tabs>
          <w:tab w:val="left" w:pos="810"/>
        </w:tabs>
      </w:pPr>
      <w:r>
        <w:t xml:space="preserve">length of time applications </w:t>
      </w:r>
      <w:proofErr w:type="gramStart"/>
      <w:r>
        <w:t>have</w:t>
      </w:r>
      <w:proofErr w:type="gramEnd"/>
      <w:r>
        <w:t xml:space="preserve"> been pending; and</w:t>
      </w:r>
    </w:p>
    <w:p w14:paraId="10A2A2C9" w14:textId="6337242C" w:rsidR="00A50A73" w:rsidRDefault="00A50A73" w:rsidP="00DA2575">
      <w:pPr>
        <w:pStyle w:val="ListParagraph"/>
        <w:numPr>
          <w:ilvl w:val="0"/>
          <w:numId w:val="32"/>
        </w:numPr>
        <w:tabs>
          <w:tab w:val="left" w:pos="810"/>
        </w:tabs>
      </w:pPr>
      <w:r>
        <w:t>type of applications that are pending (e.g., MAGI, other non-disability</w:t>
      </w:r>
      <w:r w:rsidR="00D62C44">
        <w:t>-</w:t>
      </w:r>
      <w:r>
        <w:t>based application</w:t>
      </w:r>
      <w:r w:rsidR="00644CD3">
        <w:t>s</w:t>
      </w:r>
      <w:r>
        <w:t>, disability</w:t>
      </w:r>
      <w:r w:rsidR="00D62C44">
        <w:t>-</w:t>
      </w:r>
      <w:r>
        <w:t>based applications).</w:t>
      </w:r>
    </w:p>
    <w:p w14:paraId="4A4BA6CD" w14:textId="77777777" w:rsidR="00A50A73" w:rsidRDefault="00A50A73" w:rsidP="00A50A73">
      <w:pPr>
        <w:tabs>
          <w:tab w:val="left" w:pos="810"/>
        </w:tabs>
        <w:ind w:left="1080"/>
      </w:pPr>
    </w:p>
    <w:p w14:paraId="651C2548" w14:textId="6A018718" w:rsidR="00D62C44" w:rsidRDefault="00A50A73" w:rsidP="00DA2575">
      <w:pPr>
        <w:pStyle w:val="ListParagraph"/>
        <w:numPr>
          <w:ilvl w:val="0"/>
          <w:numId w:val="31"/>
        </w:numPr>
        <w:tabs>
          <w:tab w:val="left" w:pos="810"/>
        </w:tabs>
      </w:pPr>
      <w:r>
        <w:t xml:space="preserve">Consider the potential policy changes </w:t>
      </w:r>
      <w:r w:rsidR="00644CD3">
        <w:t xml:space="preserve">that may be necessary </w:t>
      </w:r>
      <w:r>
        <w:t xml:space="preserve">to facilitate application processing and assist with staging applications for workload management. </w:t>
      </w:r>
    </w:p>
    <w:p w14:paraId="57A8838D" w14:textId="77777777" w:rsidR="003345FB" w:rsidRDefault="003345FB" w:rsidP="003345FB">
      <w:pPr>
        <w:pStyle w:val="ListParagraph"/>
        <w:tabs>
          <w:tab w:val="left" w:pos="810"/>
        </w:tabs>
        <w:ind w:left="1440"/>
      </w:pPr>
    </w:p>
    <w:p w14:paraId="46B25519" w14:textId="771CA0CB" w:rsidR="001D48EB" w:rsidRPr="003345FB" w:rsidRDefault="00A50A73" w:rsidP="00DA2575">
      <w:pPr>
        <w:pStyle w:val="ListParagraph"/>
        <w:numPr>
          <w:ilvl w:val="0"/>
          <w:numId w:val="31"/>
        </w:numPr>
        <w:tabs>
          <w:tab w:val="left" w:pos="810"/>
        </w:tabs>
      </w:pPr>
      <w:r>
        <w:t>Refer to resources</w:t>
      </w:r>
      <w:r w:rsidR="00D62C44">
        <w:t xml:space="preserve"> in </w:t>
      </w:r>
      <w:r w:rsidR="00D62C44">
        <w:rPr>
          <w:i/>
        </w:rPr>
        <w:t xml:space="preserve">Appendix </w:t>
      </w:r>
      <w:r w:rsidR="001D48EB">
        <w:rPr>
          <w:i/>
        </w:rPr>
        <w:t>A</w:t>
      </w:r>
      <w:r>
        <w:t xml:space="preserve"> for potential policy changes in the </w:t>
      </w:r>
      <w:hyperlink r:id="rId20" w:history="1">
        <w:r w:rsidR="001334C0" w:rsidRPr="001D48EB">
          <w:rPr>
            <w:rStyle w:val="Hyperlink"/>
            <w:i/>
            <w:iCs/>
          </w:rPr>
          <w:t>March 2019 Coverage Learning Collaborative resourc</w:t>
        </w:r>
        <w:r w:rsidR="001334C0">
          <w:rPr>
            <w:rStyle w:val="Hyperlink"/>
            <w:i/>
            <w:iCs/>
          </w:rPr>
          <w:t xml:space="preserve">e </w:t>
        </w:r>
        <w:r w:rsidR="001334C0" w:rsidRPr="001D48EB">
          <w:rPr>
            <w:rStyle w:val="Hyperlink"/>
            <w:i/>
            <w:iCs/>
          </w:rPr>
          <w:t>Medicaid &amp; CHIP MAGI Application Processing: Ensuring Timely and Accurate Eligibility Determinations</w:t>
        </w:r>
      </w:hyperlink>
      <w:r w:rsidR="001334C0">
        <w:rPr>
          <w:i/>
          <w:iCs/>
        </w:rPr>
        <w:t xml:space="preserve">, </w:t>
      </w:r>
      <w:r w:rsidR="001334C0" w:rsidRPr="001334C0">
        <w:rPr>
          <w:iCs/>
        </w:rPr>
        <w:t xml:space="preserve">the </w:t>
      </w:r>
      <w:r w:rsidR="00183585" w:rsidRPr="001D48EB">
        <w:rPr>
          <w:rStyle w:val="Hyperlink"/>
          <w:i/>
        </w:rPr>
        <w:t xml:space="preserve">December 2020 </w:t>
      </w:r>
      <w:r w:rsidR="00AC50E6" w:rsidRPr="001D48EB">
        <w:rPr>
          <w:rStyle w:val="Hyperlink"/>
          <w:i/>
        </w:rPr>
        <w:t>S</w:t>
      </w:r>
      <w:r w:rsidR="006931F8" w:rsidRPr="001D48EB">
        <w:rPr>
          <w:rStyle w:val="Hyperlink"/>
          <w:i/>
        </w:rPr>
        <w:t>HO</w:t>
      </w:r>
      <w:r w:rsidR="00D3323C" w:rsidRPr="001D48EB">
        <w:rPr>
          <w:rStyle w:val="Hyperlink"/>
          <w:i/>
        </w:rPr>
        <w:t xml:space="preserve"> #20-004</w:t>
      </w:r>
      <w:r w:rsidR="00183585" w:rsidRPr="001D48EB">
        <w:rPr>
          <w:rStyle w:val="Hyperlink"/>
          <w:i/>
        </w:rPr>
        <w:t>: Planning for the Resumption of Normal State Medicaid, Children’s Health Insurance Program (CHIP), and Basic Health Program (BHP) Operations Upon Conclusion of the COVID-19 Public Health Emergency</w:t>
      </w:r>
      <w:r w:rsidR="00183585" w:rsidRPr="001D48EB">
        <w:t>,</w:t>
      </w:r>
      <w:r>
        <w:t xml:space="preserve"> </w:t>
      </w:r>
      <w:r w:rsidR="00786BD8" w:rsidRPr="00D62C44">
        <w:rPr>
          <w:rStyle w:val="Hyperlink"/>
          <w:color w:val="auto"/>
          <w:u w:val="none"/>
        </w:rPr>
        <w:t xml:space="preserve">the </w:t>
      </w:r>
      <w:hyperlink r:id="rId21" w:history="1">
        <w:r w:rsidR="00786BD8" w:rsidRPr="001D48EB">
          <w:rPr>
            <w:rStyle w:val="Hyperlink"/>
            <w:i/>
            <w:iCs/>
          </w:rPr>
          <w:t>August 2021 SHO #21-002: Updated Guidance Related to Planning for the Resumption of Normal State Medicaid, Children’s Health Insurance Program (CHIP), and Basic Health Program (BHP) Operations Upon Conclusion of the COVID-19 Public Health Emergency</w:t>
        </w:r>
      </w:hyperlink>
      <w:r w:rsidR="00786BD8" w:rsidRPr="001D48EB">
        <w:rPr>
          <w:rStyle w:val="Hyperlink"/>
          <w:u w:val="none"/>
        </w:rPr>
        <w:t xml:space="preserve">, </w:t>
      </w:r>
      <w:r w:rsidR="00183585">
        <w:t xml:space="preserve">the </w:t>
      </w:r>
      <w:hyperlink r:id="rId22" w:history="1">
        <w:r w:rsidR="00183585" w:rsidRPr="001D48EB">
          <w:rPr>
            <w:rStyle w:val="Hyperlink"/>
            <w:i/>
            <w:iCs/>
          </w:rPr>
          <w:t xml:space="preserve">November 2021 </w:t>
        </w:r>
        <w:r w:rsidR="00115DB3" w:rsidRPr="001D48EB">
          <w:rPr>
            <w:rStyle w:val="Hyperlink"/>
            <w:i/>
            <w:iCs/>
          </w:rPr>
          <w:t>Strategies States and the U.S. Territories Can Adopt to Maintain Coverage of Eligible Individuals as They Return to Normal Operations</w:t>
        </w:r>
      </w:hyperlink>
      <w:r>
        <w:t xml:space="preserve">, </w:t>
      </w:r>
      <w:r w:rsidR="001334C0">
        <w:t xml:space="preserve">and </w:t>
      </w:r>
      <w:r w:rsidR="00786BD8">
        <w:t>the</w:t>
      </w:r>
      <w:r w:rsidR="00786BD8" w:rsidRPr="00D62C44">
        <w:rPr>
          <w:i/>
          <w:iCs/>
        </w:rPr>
        <w:t xml:space="preserve"> </w:t>
      </w:r>
      <w:r w:rsidR="00BF44BE">
        <w:rPr>
          <w:i/>
          <w:iCs/>
        </w:rPr>
        <w:t xml:space="preserve">March 2022 </w:t>
      </w:r>
      <w:r w:rsidR="00786BD8" w:rsidRPr="001334C0">
        <w:rPr>
          <w:i/>
          <w:iCs/>
        </w:rPr>
        <w:t>SHO #22-</w:t>
      </w:r>
      <w:r w:rsidR="00BF44BE">
        <w:rPr>
          <w:i/>
          <w:iCs/>
        </w:rPr>
        <w:t>0</w:t>
      </w:r>
      <w:r w:rsidR="00BF44BE" w:rsidRPr="00C34F20">
        <w:rPr>
          <w:i/>
          <w:iCs/>
        </w:rPr>
        <w:t>01</w:t>
      </w:r>
      <w:r w:rsidR="00786BD8" w:rsidRPr="00C34F20">
        <w:rPr>
          <w:i/>
          <w:iCs/>
        </w:rPr>
        <w:t xml:space="preserve">: </w:t>
      </w:r>
      <w:hyperlink r:id="rId23" w:history="1">
        <w:r w:rsidR="00786BD8" w:rsidRPr="00C34F20">
          <w:rPr>
            <w:rStyle w:val="Hyperlink"/>
            <w:i/>
          </w:rPr>
          <w:t>Promoting Continuity of Coverage and Distributing Eligibility and Enrollment Workload in Medicaid, the Children’s Health Insurance Program (CHIP), and Basic Health Program (BHP) Upon Conclusion of the COVID-19 Public Health Emergency</w:t>
        </w:r>
        <w:r w:rsidR="001334C0" w:rsidRPr="00C34F20">
          <w:rPr>
            <w:rStyle w:val="Hyperlink"/>
          </w:rPr>
          <w:t>.</w:t>
        </w:r>
      </w:hyperlink>
    </w:p>
    <w:p w14:paraId="7C83CC67" w14:textId="77777777" w:rsidR="003345FB" w:rsidRDefault="003345FB" w:rsidP="003345FB">
      <w:pPr>
        <w:pStyle w:val="ListParagraph"/>
        <w:tabs>
          <w:tab w:val="left" w:pos="810"/>
        </w:tabs>
        <w:ind w:left="1440"/>
      </w:pPr>
    </w:p>
    <w:p w14:paraId="534ADFA3" w14:textId="072C39CE" w:rsidR="00A50A73" w:rsidRDefault="00A50A73" w:rsidP="00A018F9">
      <w:pPr>
        <w:pStyle w:val="ListParagraph"/>
        <w:numPr>
          <w:ilvl w:val="0"/>
          <w:numId w:val="31"/>
        </w:numPr>
        <w:tabs>
          <w:tab w:val="left" w:pos="810"/>
        </w:tabs>
      </w:pPr>
      <w:r>
        <w:t>Identify the associated operational and systems changes and summarize the state approach and timing. An example row is provide</w:t>
      </w:r>
      <w:r w:rsidR="00644CD3">
        <w:t>d</w:t>
      </w:r>
      <w:r>
        <w:t xml:space="preserve"> below.</w:t>
      </w:r>
    </w:p>
    <w:tbl>
      <w:tblPr>
        <w:tblStyle w:val="TableGrid"/>
        <w:tblpPr w:leftFromText="180" w:rightFromText="180" w:vertAnchor="text" w:horzAnchor="margin" w:tblpX="715" w:tblpY="771"/>
        <w:tblOverlap w:val="never"/>
        <w:tblW w:w="4793" w:type="pct"/>
        <w:tblLook w:val="04A0" w:firstRow="1" w:lastRow="0" w:firstColumn="1" w:lastColumn="0" w:noHBand="0" w:noVBand="1"/>
      </w:tblPr>
      <w:tblGrid>
        <w:gridCol w:w="3020"/>
        <w:gridCol w:w="3294"/>
        <w:gridCol w:w="2778"/>
        <w:gridCol w:w="2655"/>
        <w:gridCol w:w="2937"/>
        <w:gridCol w:w="1871"/>
      </w:tblGrid>
      <w:tr w:rsidR="00A50A73" w:rsidRPr="00116AFE" w14:paraId="7A234B56" w14:textId="77777777" w:rsidTr="00A018F9">
        <w:trPr>
          <w:trHeight w:val="8"/>
          <w:tblHeader/>
        </w:trPr>
        <w:tc>
          <w:tcPr>
            <w:tcW w:w="1907" w:type="pct"/>
            <w:gridSpan w:val="2"/>
            <w:shd w:val="clear" w:color="auto" w:fill="C6D9F1" w:themeFill="text2" w:themeFillTint="33"/>
            <w:vAlign w:val="bottom"/>
          </w:tcPr>
          <w:p w14:paraId="7A724FE5" w14:textId="77777777" w:rsidR="00A50A73" w:rsidRPr="00116AFE" w:rsidRDefault="00A50A73" w:rsidP="00A018F9">
            <w:pPr>
              <w:pStyle w:val="bodytextcontinued0"/>
              <w:spacing w:after="0"/>
              <w:jc w:val="center"/>
              <w:rPr>
                <w:rFonts w:cstheme="minorHAnsi"/>
                <w:b/>
                <w:i w:val="0"/>
                <w:sz w:val="22"/>
              </w:rPr>
            </w:pPr>
            <w:r w:rsidRPr="00116AFE">
              <w:rPr>
                <w:rFonts w:cstheme="minorHAnsi"/>
                <w:b/>
                <w:i w:val="0"/>
                <w:sz w:val="22"/>
              </w:rPr>
              <w:t>Assessment</w:t>
            </w:r>
          </w:p>
        </w:tc>
        <w:tc>
          <w:tcPr>
            <w:tcW w:w="3093" w:type="pct"/>
            <w:gridSpan w:val="4"/>
            <w:shd w:val="clear" w:color="auto" w:fill="1F497D" w:themeFill="text2"/>
          </w:tcPr>
          <w:p w14:paraId="0E7002AC" w14:textId="77777777" w:rsidR="00A50A73" w:rsidRPr="00116AFE" w:rsidRDefault="00A50A73" w:rsidP="00A018F9">
            <w:pPr>
              <w:pStyle w:val="bodytextcontinued0"/>
              <w:spacing w:after="0"/>
              <w:ind w:right="296"/>
              <w:jc w:val="center"/>
              <w:rPr>
                <w:rFonts w:cstheme="minorHAnsi"/>
                <w:b/>
                <w:i w:val="0"/>
                <w:color w:val="FFFFFF" w:themeColor="background1"/>
                <w:sz w:val="22"/>
              </w:rPr>
            </w:pPr>
            <w:r w:rsidRPr="003872D2">
              <w:rPr>
                <w:b/>
                <w:bCs/>
                <w:i w:val="0"/>
                <w:color w:val="FFFFFF" w:themeColor="background1"/>
                <w:sz w:val="22"/>
              </w:rPr>
              <w:t>Approach</w:t>
            </w:r>
          </w:p>
        </w:tc>
      </w:tr>
      <w:tr w:rsidR="00A50A73" w:rsidRPr="00116AFE" w14:paraId="61AC16B2" w14:textId="77777777" w:rsidTr="00A018F9">
        <w:trPr>
          <w:trHeight w:val="101"/>
          <w:tblHeader/>
        </w:trPr>
        <w:tc>
          <w:tcPr>
            <w:tcW w:w="912" w:type="pct"/>
            <w:shd w:val="clear" w:color="auto" w:fill="C6D9F1" w:themeFill="text2" w:themeFillTint="33"/>
            <w:vAlign w:val="bottom"/>
          </w:tcPr>
          <w:p w14:paraId="370E0DB1" w14:textId="77777777" w:rsidR="00A50A73" w:rsidRPr="00116AFE" w:rsidRDefault="00A50A73" w:rsidP="00A018F9">
            <w:pPr>
              <w:pStyle w:val="bodytextcontinued0"/>
              <w:spacing w:after="0"/>
              <w:jc w:val="center"/>
              <w:rPr>
                <w:rFonts w:cstheme="minorHAnsi"/>
                <w:b/>
                <w:i w:val="0"/>
                <w:sz w:val="22"/>
              </w:rPr>
            </w:pPr>
            <w:r w:rsidRPr="00116AFE">
              <w:rPr>
                <w:rFonts w:cstheme="minorHAnsi"/>
                <w:b/>
                <w:i w:val="0"/>
                <w:sz w:val="22"/>
              </w:rPr>
              <w:t>Pending Application Type and Estimated Number Affected</w:t>
            </w:r>
          </w:p>
          <w:p w14:paraId="3130050F" w14:textId="77777777" w:rsidR="00A50A73" w:rsidRPr="00116AFE" w:rsidRDefault="00A50A73" w:rsidP="00A018F9">
            <w:pPr>
              <w:pStyle w:val="bodytextcontinued0"/>
              <w:spacing w:after="0"/>
              <w:jc w:val="center"/>
              <w:rPr>
                <w:rFonts w:cstheme="minorHAnsi"/>
                <w:sz w:val="22"/>
              </w:rPr>
            </w:pPr>
            <w:r w:rsidRPr="00116AFE">
              <w:rPr>
                <w:rFonts w:cstheme="minorHAnsi"/>
                <w:sz w:val="22"/>
              </w:rPr>
              <w:t>(Pending application type and estimated number affected)</w:t>
            </w:r>
          </w:p>
        </w:tc>
        <w:tc>
          <w:tcPr>
            <w:tcW w:w="995" w:type="pct"/>
            <w:shd w:val="clear" w:color="auto" w:fill="C6D9F1" w:themeFill="text2" w:themeFillTint="33"/>
            <w:vAlign w:val="bottom"/>
          </w:tcPr>
          <w:p w14:paraId="1A3EEE69" w14:textId="77777777" w:rsidR="00A50A73" w:rsidRPr="00116AFE" w:rsidRDefault="00A50A73" w:rsidP="00A018F9">
            <w:pPr>
              <w:pStyle w:val="bodytextcontinued0"/>
              <w:spacing w:after="0"/>
              <w:jc w:val="center"/>
              <w:rPr>
                <w:rFonts w:cstheme="minorHAnsi"/>
                <w:b/>
                <w:i w:val="0"/>
                <w:sz w:val="22"/>
              </w:rPr>
            </w:pPr>
            <w:r w:rsidRPr="00116AFE">
              <w:rPr>
                <w:rFonts w:cstheme="minorHAnsi"/>
                <w:b/>
                <w:i w:val="0"/>
                <w:sz w:val="22"/>
              </w:rPr>
              <w:t xml:space="preserve">Status of State Action Taken to Date </w:t>
            </w:r>
          </w:p>
          <w:p w14:paraId="7B4D0370" w14:textId="77777777" w:rsidR="00A50A73" w:rsidRPr="00116AFE" w:rsidRDefault="00A50A73" w:rsidP="00A018F9">
            <w:pPr>
              <w:pStyle w:val="bodytextcontinued0"/>
              <w:spacing w:after="0"/>
              <w:jc w:val="center"/>
              <w:rPr>
                <w:rFonts w:cstheme="minorHAnsi"/>
                <w:sz w:val="22"/>
              </w:rPr>
            </w:pPr>
          </w:p>
        </w:tc>
        <w:tc>
          <w:tcPr>
            <w:tcW w:w="839" w:type="pct"/>
            <w:shd w:val="clear" w:color="auto" w:fill="1F497D" w:themeFill="text2"/>
            <w:vAlign w:val="center"/>
          </w:tcPr>
          <w:p w14:paraId="5489E2F6" w14:textId="77777777" w:rsidR="00A50A73" w:rsidRPr="00116AFE" w:rsidRDefault="00A50A73" w:rsidP="00A018F9">
            <w:pPr>
              <w:pStyle w:val="bodytextcontinued0"/>
              <w:spacing w:after="0"/>
              <w:jc w:val="center"/>
              <w:rPr>
                <w:rFonts w:cstheme="minorHAnsi"/>
                <w:b/>
                <w:i w:val="0"/>
                <w:color w:val="FFFFFF" w:themeColor="background1"/>
                <w:sz w:val="22"/>
              </w:rPr>
            </w:pPr>
            <w:r w:rsidRPr="003872D2">
              <w:rPr>
                <w:b/>
                <w:bCs/>
                <w:i w:val="0"/>
                <w:color w:val="FFFFFF" w:themeColor="background1"/>
                <w:sz w:val="22"/>
              </w:rPr>
              <w:t>Policy Changes to Facilitate Verification and Application Processing</w:t>
            </w:r>
          </w:p>
          <w:p w14:paraId="48D4DA33" w14:textId="77777777" w:rsidR="00A50A73" w:rsidRPr="00116AFE" w:rsidRDefault="00A50A73" w:rsidP="00A018F9">
            <w:pPr>
              <w:pStyle w:val="bodytextcontinued0"/>
              <w:spacing w:after="0"/>
              <w:jc w:val="center"/>
              <w:rPr>
                <w:rFonts w:cstheme="minorHAnsi"/>
                <w:bCs/>
                <w:iCs/>
                <w:color w:val="FFFFFF" w:themeColor="background1"/>
                <w:sz w:val="22"/>
              </w:rPr>
            </w:pPr>
          </w:p>
        </w:tc>
        <w:tc>
          <w:tcPr>
            <w:tcW w:w="802" w:type="pct"/>
            <w:shd w:val="clear" w:color="auto" w:fill="1F497D" w:themeFill="text2"/>
            <w:vAlign w:val="center"/>
          </w:tcPr>
          <w:p w14:paraId="28C3A069" w14:textId="77777777" w:rsidR="00A50A73" w:rsidRPr="00116AFE" w:rsidRDefault="00A50A73" w:rsidP="00A018F9">
            <w:pPr>
              <w:pStyle w:val="bodytextcontinued0"/>
              <w:spacing w:after="0"/>
              <w:jc w:val="center"/>
              <w:rPr>
                <w:rFonts w:cstheme="minorHAnsi"/>
                <w:b/>
                <w:i w:val="0"/>
                <w:color w:val="FFFFFF" w:themeColor="background1"/>
                <w:sz w:val="22"/>
              </w:rPr>
            </w:pPr>
          </w:p>
          <w:p w14:paraId="73ED935D" w14:textId="77777777" w:rsidR="00A50A73" w:rsidRPr="00116AFE" w:rsidRDefault="00A50A73" w:rsidP="00A018F9">
            <w:pPr>
              <w:pStyle w:val="bodytextcontinued0"/>
              <w:spacing w:after="0"/>
              <w:jc w:val="center"/>
              <w:rPr>
                <w:rFonts w:cstheme="minorHAnsi"/>
                <w:bCs/>
                <w:iCs/>
                <w:color w:val="FFFFFF" w:themeColor="background1"/>
                <w:sz w:val="22"/>
              </w:rPr>
            </w:pPr>
            <w:r w:rsidRPr="003872D2">
              <w:rPr>
                <w:b/>
                <w:bCs/>
                <w:i w:val="0"/>
                <w:color w:val="FFFFFF" w:themeColor="background1"/>
                <w:sz w:val="22"/>
              </w:rPr>
              <w:t xml:space="preserve">Operational and Systems </w:t>
            </w:r>
            <w:r w:rsidRPr="003872D2">
              <w:rPr>
                <w:color w:val="FFFFFF" w:themeColor="background1"/>
                <w:sz w:val="22"/>
              </w:rPr>
              <w:t>(E&amp;E, MMIS, Other)</w:t>
            </w:r>
          </w:p>
          <w:p w14:paraId="7C3B51F7" w14:textId="77777777" w:rsidR="00A50A73" w:rsidRPr="00116AFE" w:rsidRDefault="00A50A73" w:rsidP="00A018F9">
            <w:pPr>
              <w:pStyle w:val="bodytextcontinued0"/>
              <w:spacing w:after="0"/>
              <w:jc w:val="center"/>
              <w:rPr>
                <w:rFonts w:cstheme="minorHAnsi"/>
                <w:b/>
                <w:i w:val="0"/>
                <w:color w:val="FFFFFF" w:themeColor="background1"/>
                <w:sz w:val="22"/>
              </w:rPr>
            </w:pPr>
            <w:r w:rsidRPr="003872D2">
              <w:rPr>
                <w:b/>
                <w:bCs/>
                <w:i w:val="0"/>
                <w:color w:val="FFFFFF" w:themeColor="background1"/>
                <w:sz w:val="22"/>
              </w:rPr>
              <w:t>Changes</w:t>
            </w:r>
          </w:p>
          <w:p w14:paraId="0AC46240" w14:textId="77777777" w:rsidR="00A50A73" w:rsidRPr="00116AFE" w:rsidRDefault="00A50A73" w:rsidP="00A018F9">
            <w:pPr>
              <w:pStyle w:val="bodytextcontinued0"/>
              <w:spacing w:after="0"/>
              <w:jc w:val="center"/>
              <w:rPr>
                <w:rFonts w:cstheme="minorHAnsi"/>
                <w:bCs/>
                <w:iCs/>
                <w:color w:val="FFFFFF" w:themeColor="background1"/>
                <w:sz w:val="22"/>
              </w:rPr>
            </w:pPr>
          </w:p>
        </w:tc>
        <w:tc>
          <w:tcPr>
            <w:tcW w:w="887" w:type="pct"/>
            <w:shd w:val="clear" w:color="auto" w:fill="1F497D" w:themeFill="text2"/>
            <w:vAlign w:val="center"/>
          </w:tcPr>
          <w:p w14:paraId="2AF9EBEC" w14:textId="77777777" w:rsidR="00A50A73" w:rsidRPr="00116AFE" w:rsidRDefault="00A50A73" w:rsidP="00A018F9">
            <w:pPr>
              <w:pStyle w:val="bodytextcontinued0"/>
              <w:spacing w:after="0"/>
              <w:jc w:val="center"/>
              <w:rPr>
                <w:rFonts w:cstheme="minorHAnsi"/>
                <w:b/>
                <w:i w:val="0"/>
                <w:color w:val="FFFFFF" w:themeColor="background1"/>
                <w:sz w:val="22"/>
              </w:rPr>
            </w:pPr>
            <w:r w:rsidRPr="003872D2">
              <w:rPr>
                <w:b/>
                <w:bCs/>
                <w:i w:val="0"/>
                <w:color w:val="FFFFFF" w:themeColor="background1"/>
                <w:sz w:val="22"/>
              </w:rPr>
              <w:t>State Approach Including Target Completion Date and Prioritization</w:t>
            </w:r>
          </w:p>
          <w:p w14:paraId="50DC78D3" w14:textId="77777777" w:rsidR="00A50A73" w:rsidRPr="00116AFE" w:rsidRDefault="00A50A73" w:rsidP="00A018F9">
            <w:pPr>
              <w:pStyle w:val="bodytextcontinued0"/>
              <w:spacing w:after="0"/>
              <w:jc w:val="center"/>
              <w:rPr>
                <w:rFonts w:cstheme="minorHAnsi"/>
                <w:color w:val="FFFFFF" w:themeColor="background1"/>
                <w:sz w:val="22"/>
              </w:rPr>
            </w:pPr>
          </w:p>
        </w:tc>
        <w:tc>
          <w:tcPr>
            <w:tcW w:w="565" w:type="pct"/>
            <w:shd w:val="clear" w:color="auto" w:fill="1F497D" w:themeFill="text2"/>
            <w:vAlign w:val="center"/>
          </w:tcPr>
          <w:p w14:paraId="35142A6B" w14:textId="77777777" w:rsidR="00A50A73" w:rsidRPr="00116AFE" w:rsidRDefault="00A50A73" w:rsidP="00A018F9">
            <w:pPr>
              <w:pStyle w:val="bodytextcontinued0"/>
              <w:spacing w:after="0"/>
              <w:jc w:val="center"/>
              <w:rPr>
                <w:rFonts w:cstheme="minorHAnsi"/>
                <w:b/>
                <w:i w:val="0"/>
                <w:color w:val="FFFFFF" w:themeColor="background1"/>
                <w:sz w:val="22"/>
              </w:rPr>
            </w:pPr>
            <w:r w:rsidRPr="003872D2">
              <w:rPr>
                <w:b/>
                <w:bCs/>
                <w:i w:val="0"/>
                <w:color w:val="FFFFFF" w:themeColor="background1"/>
                <w:sz w:val="22"/>
              </w:rPr>
              <w:t>Other Considerations</w:t>
            </w:r>
          </w:p>
        </w:tc>
      </w:tr>
      <w:tr w:rsidR="00A50A73" w:rsidRPr="00DC581C" w14:paraId="54E3253A" w14:textId="77777777" w:rsidTr="00A018F9">
        <w:trPr>
          <w:trHeight w:val="1255"/>
        </w:trPr>
        <w:tc>
          <w:tcPr>
            <w:tcW w:w="912" w:type="pct"/>
          </w:tcPr>
          <w:p w14:paraId="21EFA3FA" w14:textId="03BE6EA1" w:rsidR="00A50A73" w:rsidRPr="00116AFE" w:rsidRDefault="00A50A73" w:rsidP="00A018F9">
            <w:pPr>
              <w:pStyle w:val="bodytextcontinued0"/>
              <w:spacing w:after="0"/>
              <w:rPr>
                <w:b/>
                <w:iCs/>
                <w:szCs w:val="20"/>
              </w:rPr>
            </w:pPr>
            <w:r w:rsidRPr="00116AFE">
              <w:rPr>
                <w:b/>
                <w:iCs/>
                <w:szCs w:val="20"/>
              </w:rPr>
              <w:t xml:space="preserve">Example: </w:t>
            </w:r>
            <w:r w:rsidRPr="00116AFE">
              <w:rPr>
                <w:bCs/>
                <w:iCs/>
                <w:szCs w:val="20"/>
              </w:rPr>
              <w:t>Other non-disability</w:t>
            </w:r>
            <w:r w:rsidR="001D48EB">
              <w:rPr>
                <w:bCs/>
                <w:iCs/>
                <w:szCs w:val="20"/>
              </w:rPr>
              <w:t>-</w:t>
            </w:r>
            <w:r w:rsidRPr="00116AFE">
              <w:rPr>
                <w:bCs/>
                <w:iCs/>
                <w:szCs w:val="20"/>
              </w:rPr>
              <w:t>based applications: 25,000</w:t>
            </w:r>
          </w:p>
        </w:tc>
        <w:tc>
          <w:tcPr>
            <w:tcW w:w="995" w:type="pct"/>
          </w:tcPr>
          <w:p w14:paraId="01726439" w14:textId="4EC26675" w:rsidR="00A50A73" w:rsidRPr="00116AFE" w:rsidRDefault="00A50A73" w:rsidP="00A018F9">
            <w:pPr>
              <w:pStyle w:val="bodytextcontinued0"/>
              <w:numPr>
                <w:ilvl w:val="0"/>
                <w:numId w:val="6"/>
              </w:numPr>
              <w:rPr>
                <w:rFonts w:cstheme="minorHAnsi"/>
                <w:iCs/>
                <w:szCs w:val="20"/>
              </w:rPr>
            </w:pPr>
            <w:r w:rsidRPr="00116AFE">
              <w:rPr>
                <w:rFonts w:cstheme="minorHAnsi"/>
                <w:iCs/>
                <w:szCs w:val="20"/>
              </w:rPr>
              <w:t xml:space="preserve">Identified number </w:t>
            </w:r>
            <w:r w:rsidR="005C2F28">
              <w:rPr>
                <w:rFonts w:cstheme="minorHAnsi"/>
                <w:iCs/>
                <w:szCs w:val="20"/>
              </w:rPr>
              <w:t xml:space="preserve">of </w:t>
            </w:r>
            <w:r w:rsidRPr="00116AFE">
              <w:rPr>
                <w:rFonts w:cstheme="minorHAnsi"/>
                <w:iCs/>
                <w:szCs w:val="20"/>
              </w:rPr>
              <w:t>non-disability</w:t>
            </w:r>
            <w:r w:rsidR="001D48EB">
              <w:rPr>
                <w:rFonts w:cstheme="minorHAnsi"/>
                <w:iCs/>
                <w:szCs w:val="20"/>
              </w:rPr>
              <w:t>-</w:t>
            </w:r>
            <w:r w:rsidRPr="00116AFE">
              <w:rPr>
                <w:rFonts w:cstheme="minorHAnsi"/>
                <w:iCs/>
                <w:szCs w:val="20"/>
              </w:rPr>
              <w:t>based applications and sent notice regarding pending application.</w:t>
            </w:r>
          </w:p>
        </w:tc>
        <w:tc>
          <w:tcPr>
            <w:tcW w:w="839" w:type="pct"/>
          </w:tcPr>
          <w:p w14:paraId="1C7B8D3D" w14:textId="77777777" w:rsidR="00A50A73" w:rsidRPr="003345FB" w:rsidRDefault="00A50A73" w:rsidP="00603CFD">
            <w:pPr>
              <w:pStyle w:val="ListParagraph"/>
              <w:numPr>
                <w:ilvl w:val="0"/>
                <w:numId w:val="6"/>
              </w:numPr>
              <w:rPr>
                <w:rFonts w:eastAsia="Times New Roman"/>
                <w:i/>
                <w:iCs/>
                <w:sz w:val="20"/>
                <w:szCs w:val="20"/>
              </w:rPr>
            </w:pPr>
            <w:r w:rsidRPr="003345FB">
              <w:rPr>
                <w:rFonts w:eastAsia="Times New Roman"/>
                <w:i/>
                <w:iCs/>
                <w:sz w:val="20"/>
                <w:szCs w:val="20"/>
              </w:rPr>
              <w:t>Accept self-attestation and conduct post enrollment verification</w:t>
            </w:r>
          </w:p>
          <w:p w14:paraId="4AE62F48" w14:textId="77777777" w:rsidR="00A50A73" w:rsidRPr="003345FB" w:rsidRDefault="00A50A73" w:rsidP="00603CFD">
            <w:pPr>
              <w:pStyle w:val="ListParagraph"/>
              <w:numPr>
                <w:ilvl w:val="0"/>
                <w:numId w:val="6"/>
              </w:numPr>
              <w:rPr>
                <w:rFonts w:eastAsia="Times New Roman"/>
                <w:i/>
                <w:iCs/>
                <w:sz w:val="20"/>
                <w:szCs w:val="20"/>
              </w:rPr>
            </w:pPr>
            <w:r w:rsidRPr="003345FB">
              <w:rPr>
                <w:rFonts w:eastAsia="Times New Roman"/>
                <w:i/>
                <w:iCs/>
                <w:sz w:val="20"/>
                <w:szCs w:val="20"/>
              </w:rPr>
              <w:t xml:space="preserve">Expand access to additional data sources </w:t>
            </w:r>
          </w:p>
          <w:p w14:paraId="7BB0C57E" w14:textId="43741A0A" w:rsidR="00A50A73" w:rsidRPr="00116AFE" w:rsidRDefault="00A50A73" w:rsidP="00603CFD">
            <w:pPr>
              <w:pStyle w:val="ListParagraph"/>
              <w:numPr>
                <w:ilvl w:val="0"/>
                <w:numId w:val="6"/>
              </w:numPr>
              <w:rPr>
                <w:rFonts w:eastAsia="Times New Roman"/>
                <w:i/>
                <w:iCs/>
                <w:sz w:val="18"/>
                <w:szCs w:val="18"/>
              </w:rPr>
            </w:pPr>
            <w:r w:rsidRPr="003345FB">
              <w:rPr>
                <w:rFonts w:eastAsia="Times New Roman"/>
                <w:i/>
                <w:iCs/>
                <w:sz w:val="20"/>
                <w:szCs w:val="20"/>
              </w:rPr>
              <w:t xml:space="preserve">Align </w:t>
            </w:r>
            <w:r w:rsidR="00644CD3" w:rsidRPr="003345FB">
              <w:rPr>
                <w:rFonts w:eastAsia="Times New Roman"/>
                <w:i/>
                <w:iCs/>
                <w:sz w:val="20"/>
                <w:szCs w:val="20"/>
              </w:rPr>
              <w:t>MSP</w:t>
            </w:r>
            <w:r w:rsidRPr="003345FB">
              <w:rPr>
                <w:rFonts w:eastAsia="Times New Roman"/>
                <w:i/>
                <w:iCs/>
                <w:sz w:val="20"/>
                <w:szCs w:val="20"/>
              </w:rPr>
              <w:t xml:space="preserve"> and Medicare Part D Low Income </w:t>
            </w:r>
            <w:proofErr w:type="gramStart"/>
            <w:r w:rsidRPr="003345FB">
              <w:rPr>
                <w:rFonts w:eastAsia="Times New Roman"/>
                <w:i/>
                <w:iCs/>
                <w:sz w:val="20"/>
                <w:szCs w:val="20"/>
              </w:rPr>
              <w:t xml:space="preserve">Subsidy </w:t>
            </w:r>
            <w:r w:rsidR="00603CFD" w:rsidRPr="003345FB">
              <w:rPr>
                <w:rFonts w:eastAsia="Times New Roman"/>
                <w:i/>
                <w:iCs/>
                <w:sz w:val="20"/>
                <w:szCs w:val="20"/>
              </w:rPr>
              <w:t xml:space="preserve"> criteria</w:t>
            </w:r>
            <w:proofErr w:type="gramEnd"/>
            <w:r w:rsidR="00603CFD" w:rsidRPr="003345FB">
              <w:rPr>
                <w:rFonts w:eastAsia="Times New Roman"/>
                <w:i/>
                <w:iCs/>
                <w:sz w:val="20"/>
                <w:szCs w:val="20"/>
              </w:rPr>
              <w:t xml:space="preserve"> and leverage SSA’s LIS “Leads data”</w:t>
            </w:r>
            <w:r w:rsidR="00A018F9" w:rsidRPr="003345FB">
              <w:rPr>
                <w:rFonts w:eastAsia="Times New Roman"/>
                <w:i/>
                <w:iCs/>
                <w:sz w:val="20"/>
                <w:szCs w:val="20"/>
              </w:rPr>
              <w:t xml:space="preserve"> </w:t>
            </w:r>
          </w:p>
        </w:tc>
        <w:tc>
          <w:tcPr>
            <w:tcW w:w="802" w:type="pct"/>
          </w:tcPr>
          <w:p w14:paraId="47955D52" w14:textId="77777777" w:rsidR="00A50A73" w:rsidRPr="003345FB" w:rsidRDefault="00A50A73" w:rsidP="00A018F9">
            <w:pPr>
              <w:pStyle w:val="bodytextcontinued0"/>
              <w:numPr>
                <w:ilvl w:val="0"/>
                <w:numId w:val="6"/>
              </w:numPr>
              <w:spacing w:after="0"/>
              <w:rPr>
                <w:rFonts w:cstheme="minorHAnsi"/>
                <w:iCs/>
                <w:szCs w:val="20"/>
              </w:rPr>
            </w:pPr>
            <w:r w:rsidRPr="003345FB">
              <w:rPr>
                <w:rFonts w:cstheme="minorHAnsi"/>
                <w:iCs/>
                <w:szCs w:val="20"/>
              </w:rPr>
              <w:t>E&amp;E – Build interface with additional data source and SSA’s leads data</w:t>
            </w:r>
          </w:p>
          <w:p w14:paraId="4829F804" w14:textId="77777777" w:rsidR="00A50A73" w:rsidRPr="00116AFE" w:rsidRDefault="00A50A73" w:rsidP="00A018F9">
            <w:pPr>
              <w:pStyle w:val="bodytextcontinued0"/>
              <w:spacing w:after="0"/>
              <w:ind w:left="360"/>
              <w:rPr>
                <w:rFonts w:cstheme="minorHAnsi"/>
                <w:iCs/>
                <w:color w:val="7F7F7F" w:themeColor="text1" w:themeTint="80"/>
                <w:sz w:val="18"/>
                <w:szCs w:val="18"/>
              </w:rPr>
            </w:pPr>
          </w:p>
        </w:tc>
        <w:tc>
          <w:tcPr>
            <w:tcW w:w="887" w:type="pct"/>
          </w:tcPr>
          <w:p w14:paraId="0D1C9A82" w14:textId="77777777" w:rsidR="00A50A73" w:rsidRPr="003345FB" w:rsidRDefault="00A50A73" w:rsidP="00A018F9">
            <w:pPr>
              <w:pStyle w:val="bodytextcontinued0"/>
              <w:numPr>
                <w:ilvl w:val="0"/>
                <w:numId w:val="6"/>
              </w:numPr>
              <w:spacing w:after="0"/>
              <w:rPr>
                <w:rFonts w:cstheme="minorHAnsi"/>
                <w:b/>
                <w:bCs/>
                <w:iCs/>
                <w:szCs w:val="20"/>
              </w:rPr>
            </w:pPr>
            <w:r w:rsidRPr="003345FB">
              <w:rPr>
                <w:rFonts w:cstheme="minorHAnsi"/>
                <w:b/>
                <w:bCs/>
                <w:iCs/>
                <w:szCs w:val="20"/>
              </w:rPr>
              <w:t xml:space="preserve">Approach: </w:t>
            </w:r>
            <w:r w:rsidRPr="003345FB">
              <w:rPr>
                <w:rFonts w:cstheme="minorHAnsi"/>
                <w:iCs/>
                <w:szCs w:val="20"/>
              </w:rPr>
              <w:t>[To be populated]</w:t>
            </w:r>
          </w:p>
          <w:p w14:paraId="1D6013AB" w14:textId="0A017674" w:rsidR="00A50A73" w:rsidRPr="00116AFE" w:rsidRDefault="00A50A73" w:rsidP="00A018F9">
            <w:pPr>
              <w:pStyle w:val="bodytextcontinued0"/>
              <w:numPr>
                <w:ilvl w:val="0"/>
                <w:numId w:val="6"/>
              </w:numPr>
              <w:spacing w:after="0"/>
              <w:rPr>
                <w:rFonts w:cstheme="minorHAnsi"/>
                <w:iCs/>
                <w:sz w:val="18"/>
                <w:szCs w:val="18"/>
              </w:rPr>
            </w:pPr>
            <w:r w:rsidRPr="003345FB">
              <w:rPr>
                <w:rFonts w:cstheme="minorHAnsi"/>
                <w:b/>
                <w:bCs/>
                <w:iCs/>
                <w:szCs w:val="20"/>
              </w:rPr>
              <w:t>Target:</w:t>
            </w:r>
            <w:r w:rsidRPr="003345FB">
              <w:rPr>
                <w:rFonts w:cstheme="minorHAnsi"/>
                <w:iCs/>
                <w:szCs w:val="20"/>
              </w:rPr>
              <w:t xml:space="preserve"> Complete processing of applications received during </w:t>
            </w:r>
            <w:r w:rsidR="00BA5E9D" w:rsidRPr="003345FB">
              <w:rPr>
                <w:rFonts w:cstheme="minorHAnsi"/>
                <w:iCs/>
                <w:szCs w:val="20"/>
              </w:rPr>
              <w:t xml:space="preserve">the period of the </w:t>
            </w:r>
            <w:r w:rsidR="00BF44BE">
              <w:rPr>
                <w:rFonts w:cstheme="minorHAnsi"/>
                <w:iCs/>
                <w:szCs w:val="20"/>
              </w:rPr>
              <w:t>continuous enrollment condition</w:t>
            </w:r>
            <w:r w:rsidR="00F63739" w:rsidRPr="003345FB">
              <w:rPr>
                <w:rFonts w:cstheme="minorHAnsi"/>
                <w:iCs/>
                <w:szCs w:val="20"/>
              </w:rPr>
              <w:t xml:space="preserve"> </w:t>
            </w:r>
            <w:r w:rsidRPr="003345FB">
              <w:rPr>
                <w:rFonts w:cstheme="minorHAnsi"/>
                <w:iCs/>
                <w:szCs w:val="20"/>
              </w:rPr>
              <w:t>by</w:t>
            </w:r>
            <w:r w:rsidR="00644CD3" w:rsidRPr="003345FB">
              <w:rPr>
                <w:rFonts w:cstheme="minorHAnsi"/>
                <w:iCs/>
                <w:szCs w:val="20"/>
              </w:rPr>
              <w:t xml:space="preserve"> the</w:t>
            </w:r>
            <w:r w:rsidRPr="003345FB">
              <w:rPr>
                <w:rFonts w:cstheme="minorHAnsi"/>
                <w:iCs/>
                <w:szCs w:val="20"/>
              </w:rPr>
              <w:t xml:space="preserve"> end of </w:t>
            </w:r>
            <w:r w:rsidR="00644CD3" w:rsidRPr="003345FB">
              <w:rPr>
                <w:rFonts w:cstheme="minorHAnsi"/>
                <w:iCs/>
                <w:szCs w:val="20"/>
              </w:rPr>
              <w:t>the 2</w:t>
            </w:r>
            <w:r w:rsidR="00644CD3" w:rsidRPr="003345FB">
              <w:rPr>
                <w:rFonts w:cstheme="minorHAnsi"/>
                <w:iCs/>
                <w:szCs w:val="20"/>
                <w:vertAlign w:val="superscript"/>
              </w:rPr>
              <w:t>nd</w:t>
            </w:r>
            <w:r w:rsidR="00644CD3" w:rsidRPr="003345FB">
              <w:rPr>
                <w:rFonts w:cstheme="minorHAnsi"/>
                <w:iCs/>
                <w:szCs w:val="20"/>
              </w:rPr>
              <w:t xml:space="preserve"> month after the </w:t>
            </w:r>
            <w:r w:rsidR="00BF44BE">
              <w:rPr>
                <w:rFonts w:cstheme="minorHAnsi"/>
                <w:iCs/>
                <w:szCs w:val="20"/>
              </w:rPr>
              <w:t>continuous enrollment condition</w:t>
            </w:r>
            <w:r w:rsidR="00644CD3" w:rsidRPr="003345FB">
              <w:rPr>
                <w:rFonts w:cstheme="minorHAnsi"/>
                <w:iCs/>
                <w:szCs w:val="20"/>
              </w:rPr>
              <w:t xml:space="preserve"> ends</w:t>
            </w:r>
          </w:p>
        </w:tc>
        <w:tc>
          <w:tcPr>
            <w:tcW w:w="565" w:type="pct"/>
          </w:tcPr>
          <w:p w14:paraId="09DF4192" w14:textId="77777777" w:rsidR="00A50A73" w:rsidRPr="00116AFE" w:rsidRDefault="00A50A73" w:rsidP="00A018F9">
            <w:pPr>
              <w:pStyle w:val="bodytextcontinued0"/>
              <w:spacing w:after="0"/>
              <w:rPr>
                <w:rFonts w:cstheme="minorHAnsi"/>
                <w:iCs/>
                <w:szCs w:val="20"/>
              </w:rPr>
            </w:pPr>
          </w:p>
        </w:tc>
      </w:tr>
    </w:tbl>
    <w:p w14:paraId="5DEAD792" w14:textId="77777777" w:rsidR="00BA43B5" w:rsidRDefault="00BA43B5" w:rsidP="0098408B">
      <w:pPr>
        <w:pStyle w:val="ListParagraph"/>
        <w:tabs>
          <w:tab w:val="left" w:pos="720"/>
        </w:tabs>
        <w:ind w:left="1440"/>
        <w:rPr>
          <w:rFonts w:asciiTheme="majorHAnsi" w:eastAsiaTheme="majorEastAsia" w:hAnsiTheme="majorHAnsi" w:cstheme="majorBidi"/>
          <w:b/>
          <w:bCs/>
          <w:i/>
          <w:iCs/>
          <w:color w:val="365F91" w:themeColor="accent1" w:themeShade="BF"/>
          <w:sz w:val="28"/>
          <w:szCs w:val="28"/>
        </w:rPr>
      </w:pPr>
    </w:p>
    <w:p w14:paraId="6A31DEF2" w14:textId="692F7D67" w:rsidR="00DF383F" w:rsidRPr="006678FA" w:rsidRDefault="00037620" w:rsidP="00DA2575">
      <w:pPr>
        <w:pStyle w:val="ListParagraph"/>
        <w:numPr>
          <w:ilvl w:val="1"/>
          <w:numId w:val="4"/>
        </w:numPr>
        <w:tabs>
          <w:tab w:val="left" w:pos="720"/>
        </w:tabs>
        <w:rPr>
          <w:rFonts w:asciiTheme="majorHAnsi" w:eastAsiaTheme="majorEastAsia" w:hAnsiTheme="majorHAnsi" w:cstheme="majorBidi"/>
          <w:b/>
          <w:bCs/>
          <w:i/>
          <w:iCs/>
          <w:color w:val="365F91" w:themeColor="accent1" w:themeShade="BF"/>
          <w:sz w:val="28"/>
          <w:szCs w:val="28"/>
        </w:rPr>
      </w:pPr>
      <w:r>
        <w:rPr>
          <w:rFonts w:asciiTheme="majorHAnsi" w:eastAsiaTheme="majorEastAsia" w:hAnsiTheme="majorHAnsi" w:cstheme="majorBidi"/>
          <w:b/>
          <w:bCs/>
          <w:i/>
          <w:iCs/>
          <w:color w:val="365F91" w:themeColor="accent1" w:themeShade="BF"/>
          <w:sz w:val="28"/>
          <w:szCs w:val="28"/>
        </w:rPr>
        <w:t xml:space="preserve">Assessment and Approach: </w:t>
      </w:r>
      <w:r w:rsidR="00DF383F" w:rsidRPr="006678FA">
        <w:rPr>
          <w:rFonts w:asciiTheme="majorHAnsi" w:eastAsiaTheme="majorEastAsia" w:hAnsiTheme="majorHAnsi" w:cstheme="majorBidi"/>
          <w:b/>
          <w:bCs/>
          <w:i/>
          <w:iCs/>
          <w:color w:val="365F91" w:themeColor="accent1" w:themeShade="BF"/>
          <w:sz w:val="28"/>
          <w:szCs w:val="28"/>
        </w:rPr>
        <w:t xml:space="preserve">Fair Hearings </w:t>
      </w:r>
    </w:p>
    <w:p w14:paraId="1642DF8E" w14:textId="77777777" w:rsidR="00DF383F" w:rsidRDefault="00DF383F" w:rsidP="00DF383F">
      <w:pPr>
        <w:tabs>
          <w:tab w:val="left" w:pos="720"/>
        </w:tabs>
        <w:ind w:left="1080"/>
        <w:rPr>
          <w:rFonts w:asciiTheme="majorHAnsi" w:eastAsiaTheme="majorEastAsia" w:hAnsiTheme="majorHAnsi" w:cstheme="majorBidi"/>
          <w:b/>
          <w:bCs/>
          <w:i/>
          <w:iCs/>
          <w:color w:val="365F91" w:themeColor="accent1" w:themeShade="BF"/>
          <w:sz w:val="28"/>
          <w:szCs w:val="28"/>
          <w:highlight w:val="green"/>
        </w:rPr>
      </w:pPr>
    </w:p>
    <w:p w14:paraId="1E8704CF" w14:textId="2346069C" w:rsidR="00DF383F" w:rsidRDefault="00DF383F" w:rsidP="00DF383F">
      <w:pPr>
        <w:ind w:left="1080"/>
        <w:jc w:val="both"/>
        <w:rPr>
          <w:bCs/>
        </w:rPr>
      </w:pPr>
      <w:r w:rsidRPr="00BA5E9D">
        <w:rPr>
          <w:b/>
          <w:bCs/>
        </w:rPr>
        <w:t>CMS Expectations.</w:t>
      </w:r>
      <w:r>
        <w:rPr>
          <w:bCs/>
        </w:rPr>
        <w:t xml:space="preserve"> CMS expects that states will begin to process fair hearing requests timely when the PHE ends.</w:t>
      </w:r>
      <w:r w:rsidR="00E73D99">
        <w:rPr>
          <w:bCs/>
        </w:rPr>
        <w:t xml:space="preserve"> </w:t>
      </w:r>
      <w:r>
        <w:rPr>
          <w:bCs/>
        </w:rPr>
        <w:t xml:space="preserve">In general, states must take final administrative action on a non-expedited fair hearing request within 90 days of receipt of the request (42 C.F.R. 431.244(f)(1)). </w:t>
      </w:r>
      <w:r w:rsidR="00CB0951">
        <w:rPr>
          <w:bCs/>
        </w:rPr>
        <w:t xml:space="preserve"> </w:t>
      </w:r>
      <w:r>
        <w:rPr>
          <w:bCs/>
        </w:rPr>
        <w:t>However, CMS recognizes that some states may experience a substantial increase in fair hearing requests after the end of the continuous enrollment period.</w:t>
      </w:r>
      <w:r w:rsidR="00E73D99">
        <w:rPr>
          <w:bCs/>
        </w:rPr>
        <w:t xml:space="preserve"> </w:t>
      </w:r>
      <w:r w:rsidR="00CB0951">
        <w:rPr>
          <w:bCs/>
        </w:rPr>
        <w:t xml:space="preserve"> </w:t>
      </w:r>
      <w:r>
        <w:rPr>
          <w:bCs/>
        </w:rPr>
        <w:t>States should</w:t>
      </w:r>
      <w:r w:rsidR="009838B5">
        <w:rPr>
          <w:bCs/>
        </w:rPr>
        <w:t xml:space="preserve"> estimate</w:t>
      </w:r>
      <w:r>
        <w:rPr>
          <w:bCs/>
        </w:rPr>
        <w:t xml:space="preserve"> their anticipated fair hearing volume to avoid delays in hearings that could have adverse effects on </w:t>
      </w:r>
      <w:r w:rsidR="004E37D3">
        <w:rPr>
          <w:bCs/>
        </w:rPr>
        <w:t>enrollees</w:t>
      </w:r>
      <w:r>
        <w:rPr>
          <w:bCs/>
        </w:rPr>
        <w:t xml:space="preserve">. </w:t>
      </w:r>
    </w:p>
    <w:p w14:paraId="3CD031D8" w14:textId="77777777" w:rsidR="00DF383F" w:rsidRDefault="00DF383F" w:rsidP="00DF383F">
      <w:pPr>
        <w:tabs>
          <w:tab w:val="left" w:pos="810"/>
        </w:tabs>
        <w:rPr>
          <w:b/>
          <w:bCs/>
        </w:rPr>
      </w:pPr>
    </w:p>
    <w:p w14:paraId="1A151199" w14:textId="053D2321" w:rsidR="00DF383F" w:rsidRDefault="00DF383F" w:rsidP="00DF383F">
      <w:pPr>
        <w:tabs>
          <w:tab w:val="left" w:pos="810"/>
        </w:tabs>
        <w:ind w:left="1080"/>
      </w:pPr>
      <w:r>
        <w:rPr>
          <w:b/>
          <w:bCs/>
        </w:rPr>
        <w:t xml:space="preserve">Assessment and Approach. </w:t>
      </w:r>
      <w:r>
        <w:t>Each state’s assessment and approach should be customized for the state environment. Informed by the data provided in Section I.C., states should</w:t>
      </w:r>
      <w:r w:rsidR="001D48EB">
        <w:t>:</w:t>
      </w:r>
      <w:r>
        <w:t xml:space="preserve"> </w:t>
      </w:r>
    </w:p>
    <w:p w14:paraId="1579525A" w14:textId="77777777" w:rsidR="001D48EB" w:rsidRDefault="001D48EB" w:rsidP="00DF383F">
      <w:pPr>
        <w:tabs>
          <w:tab w:val="left" w:pos="810"/>
        </w:tabs>
        <w:ind w:left="1080"/>
      </w:pPr>
    </w:p>
    <w:p w14:paraId="3550E42A" w14:textId="7E3DF77B" w:rsidR="00DF383F" w:rsidRDefault="001D48EB" w:rsidP="00DA2575">
      <w:pPr>
        <w:pStyle w:val="ListParagraph"/>
        <w:numPr>
          <w:ilvl w:val="0"/>
          <w:numId w:val="33"/>
        </w:numPr>
        <w:tabs>
          <w:tab w:val="left" w:pos="810"/>
        </w:tabs>
        <w:ind w:firstLine="360"/>
      </w:pPr>
      <w:r>
        <w:t>E</w:t>
      </w:r>
      <w:r w:rsidR="00DC4F5C">
        <w:t>stimate</w:t>
      </w:r>
      <w:r w:rsidR="00DF383F">
        <w:t xml:space="preserve"> the volume of fair hearing requests that the state will need to distribute and process, and consider </w:t>
      </w:r>
      <w:r w:rsidR="00DC4F5C">
        <w:t xml:space="preserve">the following </w:t>
      </w:r>
      <w:r w:rsidR="00DF383F">
        <w:t>factors in identifying and staging fair hearing request</w:t>
      </w:r>
      <w:r>
        <w:tab/>
      </w:r>
      <w:r>
        <w:tab/>
      </w:r>
      <w:r>
        <w:tab/>
      </w:r>
      <w:r w:rsidR="00DF383F">
        <w:t>categories for action:</w:t>
      </w:r>
    </w:p>
    <w:p w14:paraId="7B4DE0F7" w14:textId="77777777" w:rsidR="00DF383F" w:rsidRDefault="00DF383F" w:rsidP="00DA2575">
      <w:pPr>
        <w:pStyle w:val="ListParagraph"/>
        <w:numPr>
          <w:ilvl w:val="0"/>
          <w:numId w:val="16"/>
        </w:numPr>
        <w:tabs>
          <w:tab w:val="left" w:pos="810"/>
        </w:tabs>
        <w:ind w:left="2208"/>
      </w:pPr>
      <w:r>
        <w:t>number of requests</w:t>
      </w:r>
      <w:r w:rsidR="00DC4F5C">
        <w:t xml:space="preserve"> and types of cases, including those</w:t>
      </w:r>
      <w:r>
        <w:t xml:space="preserve"> that meet the requirements for an expedited fair hearing;</w:t>
      </w:r>
    </w:p>
    <w:p w14:paraId="590A65B5" w14:textId="27151C57" w:rsidR="00DF383F" w:rsidRDefault="00DF383F" w:rsidP="00DA2575">
      <w:pPr>
        <w:pStyle w:val="ListParagraph"/>
        <w:numPr>
          <w:ilvl w:val="0"/>
          <w:numId w:val="16"/>
        </w:numPr>
        <w:tabs>
          <w:tab w:val="left" w:pos="810"/>
        </w:tabs>
        <w:ind w:left="2208"/>
      </w:pPr>
      <w:r>
        <w:t xml:space="preserve">length of time fair hearing requests </w:t>
      </w:r>
      <w:proofErr w:type="gramStart"/>
      <w:r>
        <w:t>have</w:t>
      </w:r>
      <w:proofErr w:type="gramEnd"/>
      <w:r>
        <w:t xml:space="preserve"> been pending (oldest to most recent); </w:t>
      </w:r>
    </w:p>
    <w:p w14:paraId="3B2A67AD" w14:textId="59B01E61" w:rsidR="00F55E4E" w:rsidRDefault="00F55E4E" w:rsidP="00DA2575">
      <w:pPr>
        <w:pStyle w:val="ListParagraph"/>
        <w:numPr>
          <w:ilvl w:val="0"/>
          <w:numId w:val="16"/>
        </w:numPr>
        <w:tabs>
          <w:tab w:val="left" w:pos="810"/>
        </w:tabs>
        <w:ind w:left="2208"/>
      </w:pPr>
      <w:r>
        <w:t>number of requests for: a) individuals who are not receiving benefits pending (e.g.</w:t>
      </w:r>
      <w:r w:rsidR="008636AC">
        <w:t>,</w:t>
      </w:r>
      <w:r>
        <w:t xml:space="preserve"> initial eligibility or service/benefits denials) and b) individuals who appeal the termination of </w:t>
      </w:r>
      <w:r w:rsidR="0024316F">
        <w:t xml:space="preserve">eligibility </w:t>
      </w:r>
      <w:r>
        <w:t>and who are receiving benefits pending;</w:t>
      </w:r>
    </w:p>
    <w:p w14:paraId="5B89B629" w14:textId="64D822ED" w:rsidR="00DC4F5C" w:rsidRDefault="00F55E4E" w:rsidP="00DA2575">
      <w:pPr>
        <w:pStyle w:val="ListParagraph"/>
        <w:numPr>
          <w:ilvl w:val="0"/>
          <w:numId w:val="16"/>
        </w:numPr>
        <w:tabs>
          <w:tab w:val="left" w:pos="810"/>
        </w:tabs>
        <w:ind w:left="2208"/>
      </w:pPr>
      <w:r>
        <w:t>st</w:t>
      </w:r>
      <w:r w:rsidR="00DC4F5C">
        <w:t>affing resources available to hear cases and usual caseload management capacity</w:t>
      </w:r>
      <w:r>
        <w:t>.</w:t>
      </w:r>
    </w:p>
    <w:p w14:paraId="4D1E2F51" w14:textId="77777777" w:rsidR="00DF383F" w:rsidRDefault="00DF383F" w:rsidP="00DF383F">
      <w:pPr>
        <w:pStyle w:val="ListParagraph"/>
        <w:tabs>
          <w:tab w:val="left" w:pos="810"/>
        </w:tabs>
        <w:ind w:left="2208"/>
      </w:pPr>
    </w:p>
    <w:p w14:paraId="402F5B00" w14:textId="77777777" w:rsidR="00C34F20" w:rsidRDefault="00DF383F" w:rsidP="00DA2575">
      <w:pPr>
        <w:pStyle w:val="ListParagraph"/>
        <w:numPr>
          <w:ilvl w:val="0"/>
          <w:numId w:val="33"/>
        </w:numPr>
        <w:tabs>
          <w:tab w:val="left" w:pos="810"/>
        </w:tabs>
        <w:ind w:firstLine="360"/>
      </w:pPr>
      <w:r>
        <w:t>Consider the potential policy and process changes to facilitate the timely resolution of fair hearing requests.</w:t>
      </w:r>
      <w:r w:rsidR="00E73D99">
        <w:t xml:space="preserve"> </w:t>
      </w:r>
    </w:p>
    <w:p w14:paraId="195C9B68" w14:textId="77777777" w:rsidR="00C34F20" w:rsidRDefault="00C34F20" w:rsidP="00C34F20">
      <w:pPr>
        <w:pStyle w:val="ListParagraph"/>
        <w:tabs>
          <w:tab w:val="left" w:pos="810"/>
        </w:tabs>
        <w:ind w:left="1080"/>
      </w:pPr>
    </w:p>
    <w:p w14:paraId="171D5334" w14:textId="7400733A" w:rsidR="001D48EB" w:rsidRPr="00C34F20" w:rsidRDefault="00DF383F" w:rsidP="00DA2575">
      <w:pPr>
        <w:pStyle w:val="ListParagraph"/>
        <w:numPr>
          <w:ilvl w:val="0"/>
          <w:numId w:val="33"/>
        </w:numPr>
        <w:tabs>
          <w:tab w:val="left" w:pos="810"/>
        </w:tabs>
        <w:ind w:left="1440"/>
        <w:rPr>
          <w:rStyle w:val="Hyperlink"/>
          <w:color w:val="auto"/>
          <w:u w:val="none"/>
        </w:rPr>
      </w:pPr>
      <w:r>
        <w:t xml:space="preserve">Refer to resources in the </w:t>
      </w:r>
      <w:hyperlink r:id="rId24" w:tooltip=" Planning for the Resumption of Normal State Medicaid, Children's Health Insurange Program (CHIP), and Basic Health Program (BHP) Operations Upon Conclusion of the COVID-19 Public Health Emergency" w:history="1">
        <w:r w:rsidRPr="00C34F20">
          <w:rPr>
            <w:rStyle w:val="Hyperlink"/>
            <w:i/>
            <w:iCs/>
          </w:rPr>
          <w:t>December 2020 SHO #20-004</w:t>
        </w:r>
        <w:r w:rsidR="00D3323C" w:rsidRPr="00C34F20">
          <w:rPr>
            <w:rStyle w:val="Hyperlink"/>
            <w:i/>
            <w:iCs/>
          </w:rPr>
          <w:t>: Planning for</w:t>
        </w:r>
        <w:r w:rsidR="00D265B9" w:rsidRPr="00C34F20">
          <w:rPr>
            <w:rStyle w:val="Hyperlink"/>
            <w:i/>
            <w:iCs/>
          </w:rPr>
          <w:t xml:space="preserve"> </w:t>
        </w:r>
        <w:r w:rsidR="00D3323C" w:rsidRPr="00C34F20">
          <w:rPr>
            <w:rStyle w:val="Hyperlink"/>
            <w:i/>
            <w:iCs/>
          </w:rPr>
          <w:t>the Resumption of Normal State Medicaid, Children’s Health Insurance Program (CHIP), and Basic Health</w:t>
        </w:r>
        <w:r w:rsidR="00997077" w:rsidRPr="00C34F20">
          <w:rPr>
            <w:rStyle w:val="Hyperlink"/>
            <w:i/>
            <w:iCs/>
          </w:rPr>
          <w:t xml:space="preserve"> </w:t>
        </w:r>
        <w:r w:rsidR="00D3323C" w:rsidRPr="00C34F20">
          <w:rPr>
            <w:rStyle w:val="Hyperlink"/>
            <w:i/>
            <w:iCs/>
          </w:rPr>
          <w:t>Program (BHP) Operations Upon Conclusion of the COVID-19 Public</w:t>
        </w:r>
        <w:r w:rsidR="00D265B9" w:rsidRPr="00C34F20">
          <w:rPr>
            <w:rStyle w:val="Hyperlink"/>
            <w:i/>
            <w:iCs/>
          </w:rPr>
          <w:t xml:space="preserve"> </w:t>
        </w:r>
        <w:r w:rsidR="00D3323C" w:rsidRPr="00C34F20">
          <w:rPr>
            <w:rStyle w:val="Hyperlink"/>
            <w:i/>
            <w:iCs/>
          </w:rPr>
          <w:t>Health Emergency</w:t>
        </w:r>
      </w:hyperlink>
      <w:r w:rsidRPr="00C34F20">
        <w:rPr>
          <w:rStyle w:val="Hyperlink"/>
          <w:color w:val="auto"/>
          <w:u w:val="none"/>
        </w:rPr>
        <w:t>,</w:t>
      </w:r>
      <w:r w:rsidR="00997077" w:rsidRPr="00C34F20">
        <w:rPr>
          <w:rStyle w:val="Hyperlink"/>
          <w:color w:val="auto"/>
          <w:u w:val="none"/>
        </w:rPr>
        <w:t xml:space="preserve"> </w:t>
      </w:r>
      <w:r w:rsidR="00D3323C" w:rsidRPr="00C34F20">
        <w:rPr>
          <w:rStyle w:val="Hyperlink"/>
          <w:color w:val="auto"/>
          <w:u w:val="none"/>
        </w:rPr>
        <w:t xml:space="preserve">the </w:t>
      </w:r>
      <w:hyperlink r:id="rId25" w:tooltip="November 2021 Strategies States and the U.S. Territories Can Adopt to Maintain Coverage of Eligible Individuals as They Return to Normal Operations" w:history="1">
        <w:r w:rsidR="00D3323C" w:rsidRPr="00C34F20">
          <w:rPr>
            <w:rStyle w:val="Hyperlink"/>
            <w:i/>
            <w:iCs/>
          </w:rPr>
          <w:t xml:space="preserve">November 2021 </w:t>
        </w:r>
        <w:r w:rsidRPr="00C34F20">
          <w:rPr>
            <w:rStyle w:val="Hyperlink"/>
            <w:i/>
            <w:iCs/>
          </w:rPr>
          <w:t>Strategies States and the U.S. Territories Can</w:t>
        </w:r>
        <w:r w:rsidR="00D265B9" w:rsidRPr="00C34F20">
          <w:rPr>
            <w:rStyle w:val="Hyperlink"/>
            <w:i/>
            <w:iCs/>
          </w:rPr>
          <w:t xml:space="preserve"> </w:t>
        </w:r>
        <w:r w:rsidRPr="00C34F20">
          <w:rPr>
            <w:rStyle w:val="Hyperlink"/>
            <w:i/>
            <w:iCs/>
          </w:rPr>
          <w:t>Adopt to Maintain Coverage of Eligible Individuals as They Return to Normal Operations</w:t>
        </w:r>
      </w:hyperlink>
      <w:r w:rsidR="00E137BE" w:rsidRPr="00C34F20">
        <w:rPr>
          <w:rStyle w:val="Hyperlink"/>
          <w:color w:val="auto"/>
          <w:u w:val="none"/>
        </w:rPr>
        <w:t>,</w:t>
      </w:r>
      <w:r w:rsidR="000646D0">
        <w:t xml:space="preserve"> and the</w:t>
      </w:r>
      <w:r w:rsidR="000646D0" w:rsidRPr="00C34F20">
        <w:rPr>
          <w:i/>
          <w:iCs/>
        </w:rPr>
        <w:t xml:space="preserve"> </w:t>
      </w:r>
      <w:hyperlink r:id="rId26" w:tooltip="Unwinding and Returning to Regular Operations after COVID-19" w:history="1">
        <w:r w:rsidR="00BF44BE" w:rsidRPr="00C34F20">
          <w:rPr>
            <w:rStyle w:val="Hyperlink"/>
            <w:i/>
            <w:iCs/>
          </w:rPr>
          <w:t xml:space="preserve">March 2022 </w:t>
        </w:r>
        <w:r w:rsidR="00221878" w:rsidRPr="00C34F20">
          <w:rPr>
            <w:rStyle w:val="Hyperlink"/>
            <w:i/>
            <w:iCs/>
          </w:rPr>
          <w:t>SHO</w:t>
        </w:r>
        <w:r w:rsidR="00997077" w:rsidRPr="00C34F20">
          <w:rPr>
            <w:rStyle w:val="Hyperlink"/>
            <w:i/>
            <w:iCs/>
          </w:rPr>
          <w:t xml:space="preserve"> </w:t>
        </w:r>
        <w:r w:rsidR="00221878" w:rsidRPr="00C34F20">
          <w:rPr>
            <w:rStyle w:val="Hyperlink"/>
            <w:i/>
            <w:iCs/>
          </w:rPr>
          <w:t>#22-</w:t>
        </w:r>
        <w:r w:rsidR="00BF44BE" w:rsidRPr="00C34F20">
          <w:rPr>
            <w:rStyle w:val="Hyperlink"/>
            <w:i/>
            <w:iCs/>
          </w:rPr>
          <w:t>001</w:t>
        </w:r>
        <w:r w:rsidR="00221878" w:rsidRPr="00C34F20">
          <w:rPr>
            <w:rStyle w:val="Hyperlink"/>
            <w:i/>
            <w:iCs/>
          </w:rPr>
          <w:t xml:space="preserve">: </w:t>
        </w:r>
        <w:r w:rsidR="00221878" w:rsidRPr="00C34F20">
          <w:rPr>
            <w:rStyle w:val="Hyperlink"/>
            <w:i/>
          </w:rPr>
          <w:t>Promoting Continuity of Coverage and Distributing Eligibilit</w:t>
        </w:r>
        <w:r w:rsidR="001D48EB" w:rsidRPr="00C34F20">
          <w:rPr>
            <w:rStyle w:val="Hyperlink"/>
            <w:i/>
          </w:rPr>
          <w:t>y</w:t>
        </w:r>
        <w:r w:rsidR="00D265B9" w:rsidRPr="00C34F20">
          <w:rPr>
            <w:rStyle w:val="Hyperlink"/>
            <w:i/>
          </w:rPr>
          <w:t xml:space="preserve"> </w:t>
        </w:r>
        <w:r w:rsidR="00221878" w:rsidRPr="00C34F20">
          <w:rPr>
            <w:rStyle w:val="Hyperlink"/>
            <w:i/>
          </w:rPr>
          <w:t>and Enrollment Workload in Medicaid, the Children’s Health Insurance Program (CHIP), and Basic Health</w:t>
        </w:r>
        <w:r w:rsidR="00997077" w:rsidRPr="00C34F20">
          <w:rPr>
            <w:rStyle w:val="Hyperlink"/>
            <w:i/>
          </w:rPr>
          <w:t xml:space="preserve"> </w:t>
        </w:r>
        <w:r w:rsidR="00221878" w:rsidRPr="00C34F20">
          <w:rPr>
            <w:rStyle w:val="Hyperlink"/>
            <w:i/>
          </w:rPr>
          <w:t>Program (BHP) Upon Conclusion of the COVID-19 Public Health</w:t>
        </w:r>
        <w:r w:rsidR="00D265B9" w:rsidRPr="00C34F20">
          <w:rPr>
            <w:rStyle w:val="Hyperlink"/>
            <w:i/>
          </w:rPr>
          <w:t xml:space="preserve"> </w:t>
        </w:r>
        <w:r w:rsidR="00221878" w:rsidRPr="00C34F20">
          <w:rPr>
            <w:rStyle w:val="Hyperlink"/>
            <w:i/>
          </w:rPr>
          <w:t>Emergency</w:t>
        </w:r>
        <w:r w:rsidR="00547261" w:rsidRPr="00C34F20">
          <w:rPr>
            <w:rStyle w:val="Hyperlink"/>
          </w:rPr>
          <w:t>.</w:t>
        </w:r>
      </w:hyperlink>
      <w:r w:rsidRPr="00C34F20">
        <w:rPr>
          <w:rStyle w:val="Hyperlink"/>
          <w:color w:val="auto"/>
          <w:u w:val="none"/>
        </w:rPr>
        <w:t xml:space="preserve"> </w:t>
      </w:r>
    </w:p>
    <w:p w14:paraId="02FB5E8D" w14:textId="77777777" w:rsidR="00997077" w:rsidRDefault="00997077" w:rsidP="00997077">
      <w:pPr>
        <w:pStyle w:val="ListParagraph"/>
        <w:tabs>
          <w:tab w:val="left" w:pos="810"/>
        </w:tabs>
        <w:ind w:left="1440"/>
        <w:rPr>
          <w:rStyle w:val="Hyperlink"/>
          <w:color w:val="auto"/>
          <w:u w:val="none"/>
        </w:rPr>
      </w:pPr>
    </w:p>
    <w:p w14:paraId="1A0A09E6" w14:textId="688A2794" w:rsidR="00DF383F" w:rsidRDefault="00DF383F" w:rsidP="00DA2575">
      <w:pPr>
        <w:pStyle w:val="ListParagraph"/>
        <w:numPr>
          <w:ilvl w:val="0"/>
          <w:numId w:val="33"/>
        </w:numPr>
        <w:tabs>
          <w:tab w:val="left" w:pos="810"/>
        </w:tabs>
        <w:ind w:firstLine="360"/>
      </w:pPr>
      <w:r w:rsidRPr="001D48EB">
        <w:rPr>
          <w:rStyle w:val="Hyperlink"/>
          <w:color w:val="auto"/>
          <w:u w:val="none"/>
        </w:rPr>
        <w:t>Identify the associated operational</w:t>
      </w:r>
      <w:r w:rsidRPr="003773BB">
        <w:t xml:space="preserve"> </w:t>
      </w:r>
      <w:r>
        <w:t xml:space="preserve">and systems changes and summarize the state approach and timing. </w:t>
      </w:r>
      <w:r w:rsidR="009838B5">
        <w:t>An e</w:t>
      </w:r>
      <w:r>
        <w:t xml:space="preserve">xample row </w:t>
      </w:r>
      <w:r w:rsidR="009838B5">
        <w:t>is</w:t>
      </w:r>
      <w:r>
        <w:t xml:space="preserve"> provided below.</w:t>
      </w:r>
    </w:p>
    <w:p w14:paraId="0E2A7D5F" w14:textId="77777777" w:rsidR="00DF383F" w:rsidRPr="00310E79" w:rsidRDefault="00DF383F" w:rsidP="00603CFD">
      <w:pPr>
        <w:keepNext/>
        <w:keepLines/>
        <w:ind w:left="720" w:firstLine="720"/>
        <w:rPr>
          <w:rFonts w:asciiTheme="minorHAnsi" w:hAnsiTheme="minorHAnsi" w:cstheme="minorHAnsi"/>
        </w:rPr>
      </w:pPr>
    </w:p>
    <w:tbl>
      <w:tblPr>
        <w:tblStyle w:val="TableGrid"/>
        <w:tblpPr w:leftFromText="180" w:rightFromText="180" w:vertAnchor="text" w:horzAnchor="page" w:tblpX="2326" w:tblpY="158"/>
        <w:tblOverlap w:val="never"/>
        <w:tblW w:w="5000" w:type="pct"/>
        <w:tblLook w:val="04A0" w:firstRow="1" w:lastRow="0" w:firstColumn="1" w:lastColumn="0" w:noHBand="0" w:noVBand="1"/>
      </w:tblPr>
      <w:tblGrid>
        <w:gridCol w:w="3168"/>
        <w:gridCol w:w="2421"/>
        <w:gridCol w:w="2597"/>
        <w:gridCol w:w="3958"/>
        <w:gridCol w:w="2881"/>
        <w:gridCol w:w="2245"/>
      </w:tblGrid>
      <w:tr w:rsidR="00DF383F" w:rsidRPr="00D42F62" w14:paraId="462F6FD9" w14:textId="77777777" w:rsidTr="00603CFD">
        <w:trPr>
          <w:trHeight w:val="8"/>
        </w:trPr>
        <w:tc>
          <w:tcPr>
            <w:tcW w:w="1618" w:type="pct"/>
            <w:gridSpan w:val="2"/>
            <w:shd w:val="clear" w:color="auto" w:fill="C6D9F1" w:themeFill="text2" w:themeFillTint="33"/>
            <w:vAlign w:val="bottom"/>
          </w:tcPr>
          <w:p w14:paraId="0F185D90" w14:textId="77777777" w:rsidR="00DF383F" w:rsidRPr="00D42F62" w:rsidRDefault="00DF383F" w:rsidP="00603CFD">
            <w:pPr>
              <w:pStyle w:val="bodytextcontinued0"/>
              <w:keepNext/>
              <w:keepLines/>
              <w:spacing w:after="0"/>
              <w:jc w:val="center"/>
              <w:rPr>
                <w:rFonts w:cstheme="minorHAnsi"/>
                <w:b/>
                <w:i w:val="0"/>
                <w:sz w:val="22"/>
              </w:rPr>
            </w:pPr>
            <w:r w:rsidRPr="00D42F62">
              <w:rPr>
                <w:rFonts w:cstheme="minorHAnsi"/>
                <w:b/>
                <w:i w:val="0"/>
                <w:sz w:val="22"/>
              </w:rPr>
              <w:t>Assessment</w:t>
            </w:r>
          </w:p>
        </w:tc>
        <w:tc>
          <w:tcPr>
            <w:tcW w:w="3382" w:type="pct"/>
            <w:gridSpan w:val="4"/>
            <w:shd w:val="clear" w:color="auto" w:fill="1F497D" w:themeFill="text2"/>
          </w:tcPr>
          <w:p w14:paraId="34CA0BB2" w14:textId="77777777" w:rsidR="00DF383F" w:rsidRPr="00D42F62" w:rsidRDefault="00DF383F" w:rsidP="00603CFD">
            <w:pPr>
              <w:pStyle w:val="bodytextcontinued0"/>
              <w:keepNext/>
              <w:keepLines/>
              <w:spacing w:after="0"/>
              <w:ind w:right="296"/>
              <w:jc w:val="center"/>
              <w:rPr>
                <w:rFonts w:cstheme="minorHAnsi"/>
                <w:b/>
                <w:i w:val="0"/>
                <w:color w:val="FFFFFF" w:themeColor="background1"/>
                <w:sz w:val="22"/>
              </w:rPr>
            </w:pPr>
            <w:r w:rsidRPr="003872D2">
              <w:rPr>
                <w:b/>
                <w:bCs/>
                <w:i w:val="0"/>
                <w:color w:val="FFFFFF" w:themeColor="background1"/>
                <w:sz w:val="22"/>
              </w:rPr>
              <w:t>Approach</w:t>
            </w:r>
          </w:p>
        </w:tc>
      </w:tr>
      <w:tr w:rsidR="00DF383F" w:rsidRPr="00D42F62" w14:paraId="1BB123BA" w14:textId="77777777" w:rsidTr="00603CFD">
        <w:trPr>
          <w:trHeight w:val="101"/>
        </w:trPr>
        <w:tc>
          <w:tcPr>
            <w:tcW w:w="917" w:type="pct"/>
            <w:shd w:val="clear" w:color="auto" w:fill="C6D9F1" w:themeFill="text2" w:themeFillTint="33"/>
            <w:vAlign w:val="bottom"/>
          </w:tcPr>
          <w:p w14:paraId="24E2BCEA" w14:textId="77777777" w:rsidR="00DF383F" w:rsidRPr="00D42F62" w:rsidRDefault="00DF383F" w:rsidP="00603CFD">
            <w:pPr>
              <w:pStyle w:val="bodytextcontinued0"/>
              <w:keepNext/>
              <w:keepLines/>
              <w:spacing w:after="0"/>
              <w:jc w:val="center"/>
              <w:rPr>
                <w:rFonts w:cstheme="minorHAnsi"/>
                <w:b/>
                <w:i w:val="0"/>
                <w:sz w:val="22"/>
              </w:rPr>
            </w:pPr>
            <w:r w:rsidRPr="00D42F62">
              <w:rPr>
                <w:rFonts w:cstheme="minorHAnsi"/>
                <w:b/>
                <w:i w:val="0"/>
                <w:sz w:val="22"/>
              </w:rPr>
              <w:t>Population and Estimated Number Affected</w:t>
            </w:r>
          </w:p>
          <w:p w14:paraId="297611C2" w14:textId="77777777" w:rsidR="00DF383F" w:rsidRPr="00D42F62" w:rsidRDefault="00DF383F" w:rsidP="00603CFD">
            <w:pPr>
              <w:pStyle w:val="bodytextcontinued0"/>
              <w:keepNext/>
              <w:keepLines/>
              <w:spacing w:after="0"/>
              <w:jc w:val="center"/>
              <w:rPr>
                <w:rFonts w:cstheme="minorHAnsi"/>
                <w:sz w:val="22"/>
              </w:rPr>
            </w:pPr>
            <w:r w:rsidRPr="00D42F62">
              <w:rPr>
                <w:rFonts w:cstheme="minorHAnsi"/>
                <w:sz w:val="22"/>
              </w:rPr>
              <w:t>(Define populations and estimate number in each population)</w:t>
            </w:r>
          </w:p>
        </w:tc>
        <w:tc>
          <w:tcPr>
            <w:tcW w:w="701" w:type="pct"/>
            <w:shd w:val="clear" w:color="auto" w:fill="C6D9F1" w:themeFill="text2" w:themeFillTint="33"/>
            <w:vAlign w:val="bottom"/>
          </w:tcPr>
          <w:p w14:paraId="31941485" w14:textId="77777777" w:rsidR="00DF383F" w:rsidRPr="00D42F62" w:rsidRDefault="00DF383F" w:rsidP="00603CFD">
            <w:pPr>
              <w:pStyle w:val="bodytextcontinued0"/>
              <w:keepNext/>
              <w:keepLines/>
              <w:spacing w:after="0"/>
              <w:jc w:val="center"/>
              <w:rPr>
                <w:rFonts w:cstheme="minorHAnsi"/>
                <w:b/>
                <w:i w:val="0"/>
                <w:sz w:val="22"/>
              </w:rPr>
            </w:pPr>
            <w:r w:rsidRPr="00D42F62">
              <w:rPr>
                <w:rFonts w:cstheme="minorHAnsi"/>
                <w:b/>
                <w:i w:val="0"/>
                <w:sz w:val="22"/>
              </w:rPr>
              <w:t xml:space="preserve">Status of State Action Taken to Date </w:t>
            </w:r>
          </w:p>
          <w:p w14:paraId="18E41261" w14:textId="77777777" w:rsidR="00DF383F" w:rsidRPr="00D42F62" w:rsidRDefault="00DF383F" w:rsidP="00603CFD">
            <w:pPr>
              <w:pStyle w:val="bodytextcontinued0"/>
              <w:keepNext/>
              <w:keepLines/>
              <w:spacing w:after="0"/>
              <w:jc w:val="center"/>
              <w:rPr>
                <w:rFonts w:cstheme="minorHAnsi"/>
                <w:sz w:val="22"/>
              </w:rPr>
            </w:pPr>
          </w:p>
        </w:tc>
        <w:tc>
          <w:tcPr>
            <w:tcW w:w="752" w:type="pct"/>
            <w:shd w:val="clear" w:color="auto" w:fill="1F497D" w:themeFill="text2"/>
            <w:vAlign w:val="center"/>
          </w:tcPr>
          <w:p w14:paraId="00A1C179" w14:textId="7F625281" w:rsidR="00DF383F" w:rsidRPr="007F4561" w:rsidRDefault="00DF383F" w:rsidP="00603CFD">
            <w:pPr>
              <w:pStyle w:val="bodytextcontinued0"/>
              <w:keepNext/>
              <w:keepLines/>
              <w:spacing w:after="0"/>
              <w:jc w:val="center"/>
              <w:rPr>
                <w:rFonts w:cstheme="minorHAnsi"/>
                <w:b/>
                <w:i w:val="0"/>
                <w:color w:val="FFFFFF" w:themeColor="background1"/>
                <w:sz w:val="22"/>
              </w:rPr>
            </w:pPr>
            <w:r w:rsidRPr="003872D2">
              <w:rPr>
                <w:b/>
                <w:bCs/>
                <w:i w:val="0"/>
                <w:color w:val="FFFFFF" w:themeColor="background1"/>
                <w:sz w:val="22"/>
              </w:rPr>
              <w:t>Policy Changes to Facilitate the Timely Resolution of Fair Hearing Requests</w:t>
            </w:r>
            <w:r w:rsidR="00E73D99">
              <w:rPr>
                <w:sz w:val="22"/>
              </w:rPr>
              <w:t xml:space="preserve"> </w:t>
            </w:r>
          </w:p>
          <w:p w14:paraId="5887F534" w14:textId="77777777" w:rsidR="00DF383F" w:rsidRPr="00D42F62" w:rsidRDefault="00DF383F" w:rsidP="00603CFD">
            <w:pPr>
              <w:pStyle w:val="bodytextcontinued0"/>
              <w:keepNext/>
              <w:keepLines/>
              <w:spacing w:after="0"/>
              <w:jc w:val="center"/>
              <w:rPr>
                <w:rFonts w:cstheme="minorHAnsi"/>
                <w:b/>
                <w:iCs/>
                <w:color w:val="FFFFFF" w:themeColor="background1"/>
                <w:sz w:val="22"/>
              </w:rPr>
            </w:pPr>
          </w:p>
        </w:tc>
        <w:tc>
          <w:tcPr>
            <w:tcW w:w="1146" w:type="pct"/>
            <w:shd w:val="clear" w:color="auto" w:fill="1F497D" w:themeFill="text2"/>
            <w:vAlign w:val="center"/>
          </w:tcPr>
          <w:p w14:paraId="72D6B936" w14:textId="77777777" w:rsidR="00DF383F" w:rsidRPr="00D42F62" w:rsidRDefault="00DF383F" w:rsidP="00603CFD">
            <w:pPr>
              <w:pStyle w:val="bodytextcontinued0"/>
              <w:keepNext/>
              <w:keepLines/>
              <w:spacing w:after="0"/>
              <w:jc w:val="center"/>
              <w:rPr>
                <w:rFonts w:cstheme="minorHAnsi"/>
                <w:b/>
                <w:i w:val="0"/>
                <w:color w:val="FFFFFF" w:themeColor="background1"/>
                <w:sz w:val="22"/>
              </w:rPr>
            </w:pPr>
          </w:p>
          <w:p w14:paraId="328C3272" w14:textId="77777777" w:rsidR="00DF383F" w:rsidRPr="00D42F62" w:rsidRDefault="00DF383F" w:rsidP="00603CFD">
            <w:pPr>
              <w:pStyle w:val="bodytextcontinued0"/>
              <w:keepNext/>
              <w:keepLines/>
              <w:spacing w:after="0"/>
              <w:jc w:val="center"/>
              <w:rPr>
                <w:rFonts w:cstheme="minorHAnsi"/>
                <w:bCs/>
                <w:iCs/>
                <w:color w:val="FFFFFF" w:themeColor="background1"/>
                <w:sz w:val="22"/>
              </w:rPr>
            </w:pPr>
            <w:r w:rsidRPr="003872D2">
              <w:rPr>
                <w:b/>
                <w:bCs/>
                <w:i w:val="0"/>
                <w:color w:val="FFFFFF" w:themeColor="background1"/>
                <w:sz w:val="22"/>
              </w:rPr>
              <w:t xml:space="preserve">Operational and Systems </w:t>
            </w:r>
            <w:r w:rsidRPr="003872D2">
              <w:rPr>
                <w:color w:val="FFFFFF" w:themeColor="background1"/>
                <w:sz w:val="22"/>
              </w:rPr>
              <w:t>(E&amp;E, MMIS, Other)</w:t>
            </w:r>
          </w:p>
          <w:p w14:paraId="4778138F" w14:textId="77777777" w:rsidR="00DF383F" w:rsidRPr="00D42F62" w:rsidRDefault="00DF383F" w:rsidP="00603CFD">
            <w:pPr>
              <w:pStyle w:val="bodytextcontinued0"/>
              <w:keepNext/>
              <w:keepLines/>
              <w:spacing w:after="0"/>
              <w:jc w:val="center"/>
              <w:rPr>
                <w:rFonts w:cstheme="minorHAnsi"/>
                <w:b/>
                <w:i w:val="0"/>
                <w:color w:val="FFFFFF" w:themeColor="background1"/>
                <w:sz w:val="22"/>
              </w:rPr>
            </w:pPr>
            <w:r w:rsidRPr="003872D2">
              <w:rPr>
                <w:b/>
                <w:bCs/>
                <w:i w:val="0"/>
                <w:color w:val="FFFFFF" w:themeColor="background1"/>
                <w:sz w:val="22"/>
              </w:rPr>
              <w:t>Changes</w:t>
            </w:r>
          </w:p>
          <w:p w14:paraId="64932E1D" w14:textId="77777777" w:rsidR="00DF383F" w:rsidRPr="00D42F62" w:rsidRDefault="00DF383F" w:rsidP="00603CFD">
            <w:pPr>
              <w:pStyle w:val="bodytextcontinued0"/>
              <w:keepNext/>
              <w:keepLines/>
              <w:spacing w:after="0"/>
              <w:jc w:val="center"/>
              <w:rPr>
                <w:rFonts w:cstheme="minorHAnsi"/>
                <w:bCs/>
                <w:iCs/>
                <w:color w:val="FFFFFF" w:themeColor="background1"/>
                <w:sz w:val="22"/>
              </w:rPr>
            </w:pPr>
          </w:p>
        </w:tc>
        <w:tc>
          <w:tcPr>
            <w:tcW w:w="834" w:type="pct"/>
            <w:shd w:val="clear" w:color="auto" w:fill="1F497D" w:themeFill="text2"/>
            <w:vAlign w:val="center"/>
          </w:tcPr>
          <w:p w14:paraId="7D5CEE37" w14:textId="77777777" w:rsidR="00DF383F" w:rsidRPr="00D42F62" w:rsidRDefault="00DF383F" w:rsidP="00603CFD">
            <w:pPr>
              <w:pStyle w:val="bodytextcontinued0"/>
              <w:keepNext/>
              <w:keepLines/>
              <w:spacing w:after="0"/>
              <w:jc w:val="center"/>
              <w:rPr>
                <w:rFonts w:cstheme="minorHAnsi"/>
                <w:b/>
                <w:i w:val="0"/>
                <w:color w:val="FFFFFF" w:themeColor="background1"/>
                <w:sz w:val="22"/>
              </w:rPr>
            </w:pPr>
            <w:r w:rsidRPr="003872D2">
              <w:rPr>
                <w:b/>
                <w:bCs/>
                <w:i w:val="0"/>
                <w:color w:val="FFFFFF" w:themeColor="background1"/>
                <w:sz w:val="22"/>
              </w:rPr>
              <w:t>State Approach Including Target Completion Date and Prioritization</w:t>
            </w:r>
          </w:p>
          <w:p w14:paraId="712BB275" w14:textId="77777777" w:rsidR="00DF383F" w:rsidRPr="00D42F62" w:rsidRDefault="00DF383F" w:rsidP="00603CFD">
            <w:pPr>
              <w:pStyle w:val="bodytextcontinued0"/>
              <w:keepNext/>
              <w:keepLines/>
              <w:spacing w:after="0"/>
              <w:jc w:val="center"/>
              <w:rPr>
                <w:rFonts w:cstheme="minorHAnsi"/>
                <w:color w:val="FFFFFF" w:themeColor="background1"/>
                <w:sz w:val="22"/>
              </w:rPr>
            </w:pPr>
          </w:p>
        </w:tc>
        <w:tc>
          <w:tcPr>
            <w:tcW w:w="650" w:type="pct"/>
            <w:shd w:val="clear" w:color="auto" w:fill="1F497D" w:themeFill="text2"/>
            <w:vAlign w:val="center"/>
          </w:tcPr>
          <w:p w14:paraId="346A23B9" w14:textId="77777777" w:rsidR="00DF383F" w:rsidRPr="00D42F62" w:rsidRDefault="00DF383F" w:rsidP="00603CFD">
            <w:pPr>
              <w:pStyle w:val="bodytextcontinued0"/>
              <w:keepNext/>
              <w:keepLines/>
              <w:spacing w:after="0"/>
              <w:jc w:val="center"/>
              <w:rPr>
                <w:rFonts w:cstheme="minorHAnsi"/>
                <w:b/>
                <w:i w:val="0"/>
                <w:color w:val="FFFFFF" w:themeColor="background1"/>
                <w:sz w:val="22"/>
              </w:rPr>
            </w:pPr>
            <w:r w:rsidRPr="003872D2">
              <w:rPr>
                <w:b/>
                <w:bCs/>
                <w:i w:val="0"/>
                <w:color w:val="FFFFFF" w:themeColor="background1"/>
                <w:sz w:val="22"/>
              </w:rPr>
              <w:t>Other Considerations</w:t>
            </w:r>
          </w:p>
          <w:p w14:paraId="66E9355D" w14:textId="77777777" w:rsidR="00DF383F" w:rsidRPr="00D42F62" w:rsidRDefault="00DF383F" w:rsidP="00603CFD">
            <w:pPr>
              <w:pStyle w:val="bodytextcontinued0"/>
              <w:keepNext/>
              <w:keepLines/>
              <w:spacing w:after="0"/>
              <w:jc w:val="center"/>
              <w:rPr>
                <w:rFonts w:cstheme="minorHAnsi"/>
                <w:bCs/>
                <w:iCs/>
                <w:color w:val="FFFFFF" w:themeColor="background1"/>
                <w:sz w:val="22"/>
              </w:rPr>
            </w:pPr>
          </w:p>
        </w:tc>
      </w:tr>
      <w:tr w:rsidR="00DF383F" w:rsidRPr="00D42F62" w14:paraId="5463462C" w14:textId="77777777" w:rsidTr="00603CFD">
        <w:trPr>
          <w:trHeight w:val="323"/>
        </w:trPr>
        <w:tc>
          <w:tcPr>
            <w:tcW w:w="917" w:type="pct"/>
            <w:tcBorders>
              <w:top w:val="single" w:sz="4" w:space="0" w:color="000000" w:themeColor="text1"/>
              <w:bottom w:val="single" w:sz="4" w:space="0" w:color="000000" w:themeColor="text1"/>
            </w:tcBorders>
          </w:tcPr>
          <w:p w14:paraId="75B46278" w14:textId="20A1A19A" w:rsidR="00DF383F" w:rsidRPr="00D42F62" w:rsidRDefault="00DF383F" w:rsidP="00037620">
            <w:pPr>
              <w:pStyle w:val="bodytextcontinued0"/>
              <w:rPr>
                <w:b/>
                <w:iCs/>
                <w:szCs w:val="20"/>
              </w:rPr>
            </w:pPr>
            <w:r>
              <w:t xml:space="preserve">Example: Estimated individuals who requested a fair hearing and are not </w:t>
            </w:r>
            <w:r>
              <w:lastRenderedPageBreak/>
              <w:t>receiving benefits pending (e.g.</w:t>
            </w:r>
            <w:r w:rsidR="008636AC">
              <w:t>,</w:t>
            </w:r>
            <w:r>
              <w:t xml:space="preserve"> initial eligibility or service/benefits denials): 5,000</w:t>
            </w:r>
          </w:p>
        </w:tc>
        <w:tc>
          <w:tcPr>
            <w:tcW w:w="701" w:type="pct"/>
            <w:tcBorders>
              <w:top w:val="single" w:sz="4" w:space="0" w:color="000000" w:themeColor="text1"/>
              <w:bottom w:val="single" w:sz="4" w:space="0" w:color="000000" w:themeColor="text1"/>
            </w:tcBorders>
          </w:tcPr>
          <w:p w14:paraId="243295DF" w14:textId="77777777" w:rsidR="00DF383F" w:rsidRDefault="00DF383F" w:rsidP="00DA2575">
            <w:pPr>
              <w:pStyle w:val="bodytextcontinued0"/>
              <w:numPr>
                <w:ilvl w:val="0"/>
                <w:numId w:val="6"/>
              </w:numPr>
              <w:rPr>
                <w:rFonts w:cstheme="minorHAnsi"/>
                <w:iCs/>
                <w:szCs w:val="20"/>
              </w:rPr>
            </w:pPr>
            <w:r w:rsidRPr="00116AFE">
              <w:rPr>
                <w:rFonts w:cstheme="minorHAnsi"/>
                <w:iCs/>
                <w:szCs w:val="20"/>
              </w:rPr>
              <w:lastRenderedPageBreak/>
              <w:t xml:space="preserve">Identified number </w:t>
            </w:r>
            <w:r>
              <w:rPr>
                <w:rFonts w:cstheme="minorHAnsi"/>
                <w:iCs/>
                <w:szCs w:val="20"/>
              </w:rPr>
              <w:t xml:space="preserve">of requests and </w:t>
            </w:r>
            <w:r>
              <w:rPr>
                <w:rFonts w:cstheme="minorHAnsi"/>
                <w:iCs/>
                <w:szCs w:val="20"/>
              </w:rPr>
              <w:lastRenderedPageBreak/>
              <w:t>categorized by those who are not receiving benefits pending the hearing outcome</w:t>
            </w:r>
          </w:p>
          <w:p w14:paraId="43AC64A7" w14:textId="77777777" w:rsidR="00DF383F" w:rsidRPr="00D42F62" w:rsidRDefault="00DF383F" w:rsidP="00DA2575">
            <w:pPr>
              <w:pStyle w:val="bodytextcontinued0"/>
              <w:numPr>
                <w:ilvl w:val="0"/>
                <w:numId w:val="6"/>
              </w:numPr>
              <w:rPr>
                <w:rFonts w:cstheme="minorHAnsi"/>
                <w:iCs/>
                <w:szCs w:val="20"/>
              </w:rPr>
            </w:pPr>
            <w:r>
              <w:rPr>
                <w:rFonts w:cstheme="minorHAnsi"/>
                <w:iCs/>
                <w:szCs w:val="20"/>
              </w:rPr>
              <w:t>Project number of requests expected in future months based on projected number of renewals processed.</w:t>
            </w:r>
          </w:p>
        </w:tc>
        <w:tc>
          <w:tcPr>
            <w:tcW w:w="752" w:type="pct"/>
            <w:tcBorders>
              <w:top w:val="single" w:sz="4" w:space="0" w:color="000000" w:themeColor="text1"/>
              <w:bottom w:val="single" w:sz="4" w:space="0" w:color="000000" w:themeColor="text1"/>
            </w:tcBorders>
          </w:tcPr>
          <w:p w14:paraId="479E2FF0" w14:textId="77777777" w:rsidR="00DF383F" w:rsidRDefault="00DF383F" w:rsidP="00DA2575">
            <w:pPr>
              <w:pStyle w:val="ListParagraph"/>
              <w:numPr>
                <w:ilvl w:val="0"/>
                <w:numId w:val="6"/>
              </w:numPr>
              <w:spacing w:line="259" w:lineRule="auto"/>
              <w:rPr>
                <w:rFonts w:eastAsia="Times New Roman"/>
                <w:i/>
                <w:iCs/>
                <w:sz w:val="20"/>
                <w:szCs w:val="20"/>
              </w:rPr>
            </w:pPr>
            <w:r>
              <w:rPr>
                <w:rFonts w:eastAsia="Times New Roman"/>
                <w:i/>
                <w:iCs/>
                <w:sz w:val="20"/>
                <w:szCs w:val="20"/>
              </w:rPr>
              <w:lastRenderedPageBreak/>
              <w:t xml:space="preserve">Accept a hearing officer’s recommended </w:t>
            </w:r>
            <w:r>
              <w:rPr>
                <w:rFonts w:eastAsia="Times New Roman"/>
                <w:i/>
                <w:iCs/>
                <w:sz w:val="20"/>
                <w:szCs w:val="20"/>
              </w:rPr>
              <w:lastRenderedPageBreak/>
              <w:t>decision, as final (if applicable)</w:t>
            </w:r>
          </w:p>
          <w:p w14:paraId="1AA1D8CA" w14:textId="77777777" w:rsidR="00DF383F" w:rsidDel="00183F64" w:rsidRDefault="00DF383F" w:rsidP="00037620">
            <w:pPr>
              <w:pStyle w:val="ListParagraph"/>
              <w:spacing w:line="259" w:lineRule="auto"/>
              <w:ind w:left="360"/>
              <w:rPr>
                <w:rFonts w:eastAsia="Times New Roman"/>
                <w:i/>
                <w:iCs/>
                <w:sz w:val="20"/>
                <w:szCs w:val="20"/>
              </w:rPr>
            </w:pPr>
          </w:p>
        </w:tc>
        <w:tc>
          <w:tcPr>
            <w:tcW w:w="1146" w:type="pct"/>
            <w:tcBorders>
              <w:top w:val="single" w:sz="4" w:space="0" w:color="000000" w:themeColor="text1"/>
              <w:bottom w:val="single" w:sz="4" w:space="0" w:color="000000" w:themeColor="text1"/>
            </w:tcBorders>
          </w:tcPr>
          <w:p w14:paraId="4E06859D" w14:textId="09FDAE60" w:rsidR="00DC4F5C" w:rsidRPr="00766C4D" w:rsidRDefault="00DF383F" w:rsidP="00DA2575">
            <w:pPr>
              <w:pStyle w:val="bodytextcontinued0"/>
              <w:numPr>
                <w:ilvl w:val="0"/>
                <w:numId w:val="6"/>
              </w:numPr>
              <w:spacing w:after="0"/>
              <w:rPr>
                <w:rFonts w:cstheme="minorHAnsi"/>
                <w:iCs/>
                <w:szCs w:val="20"/>
              </w:rPr>
            </w:pPr>
            <w:r w:rsidRPr="00766C4D">
              <w:rPr>
                <w:rFonts w:cstheme="minorHAnsi"/>
                <w:b/>
                <w:iCs/>
                <w:szCs w:val="20"/>
              </w:rPr>
              <w:lastRenderedPageBreak/>
              <w:t>Operational:</w:t>
            </w:r>
            <w:r w:rsidR="00E73D99">
              <w:rPr>
                <w:rFonts w:cstheme="minorHAnsi"/>
                <w:iCs/>
                <w:szCs w:val="20"/>
              </w:rPr>
              <w:t xml:space="preserve"> </w:t>
            </w:r>
          </w:p>
          <w:p w14:paraId="6B40B5C5" w14:textId="77777777" w:rsidR="00D3578F" w:rsidRPr="00766C4D" w:rsidRDefault="00DF383F" w:rsidP="00DA2575">
            <w:pPr>
              <w:pStyle w:val="bodytextcontinued0"/>
              <w:numPr>
                <w:ilvl w:val="0"/>
                <w:numId w:val="27"/>
              </w:numPr>
              <w:spacing w:after="0"/>
              <w:rPr>
                <w:rFonts w:cstheme="minorHAnsi"/>
                <w:iCs/>
                <w:szCs w:val="20"/>
              </w:rPr>
            </w:pPr>
            <w:r w:rsidRPr="00766C4D">
              <w:rPr>
                <w:rFonts w:cstheme="minorHAnsi"/>
                <w:iCs/>
                <w:szCs w:val="20"/>
              </w:rPr>
              <w:lastRenderedPageBreak/>
              <w:t>Enhance informal resolution process, including ensuring it is available by telephone</w:t>
            </w:r>
            <w:r w:rsidR="00D3578F" w:rsidRPr="00766C4D">
              <w:rPr>
                <w:rFonts w:cstheme="minorHAnsi"/>
                <w:iCs/>
                <w:szCs w:val="20"/>
              </w:rPr>
              <w:t xml:space="preserve"> or allowing for internal administrative review</w:t>
            </w:r>
            <w:r w:rsidRPr="00766C4D">
              <w:rPr>
                <w:rFonts w:cstheme="minorHAnsi"/>
                <w:iCs/>
                <w:szCs w:val="20"/>
              </w:rPr>
              <w:t>.</w:t>
            </w:r>
          </w:p>
          <w:p w14:paraId="2C8A2953" w14:textId="6ED2D39A" w:rsidR="00DF383F" w:rsidRPr="00766C4D" w:rsidRDefault="00D3578F" w:rsidP="00DA2575">
            <w:pPr>
              <w:pStyle w:val="bodytextcontinued0"/>
              <w:numPr>
                <w:ilvl w:val="0"/>
                <w:numId w:val="27"/>
              </w:numPr>
              <w:spacing w:after="0"/>
              <w:rPr>
                <w:rFonts w:cstheme="minorHAnsi"/>
                <w:iCs/>
                <w:szCs w:val="20"/>
              </w:rPr>
            </w:pPr>
            <w:r w:rsidRPr="00D265B9">
              <w:rPr>
                <w:rFonts w:cstheme="minorHAnsi"/>
                <w:iCs/>
                <w:szCs w:val="20"/>
              </w:rPr>
              <w:t>Review and revise, if needed, operational procedures including intake process for fair hear</w:t>
            </w:r>
            <w:r w:rsidRPr="00131078">
              <w:rPr>
                <w:rFonts w:cstheme="minorHAnsi"/>
                <w:iCs/>
                <w:szCs w:val="20"/>
              </w:rPr>
              <w:t>ing requests, evidence submission, call center scripts</w:t>
            </w:r>
            <w:r w:rsidR="00E73D99">
              <w:rPr>
                <w:rFonts w:cstheme="minorHAnsi"/>
                <w:iCs/>
                <w:szCs w:val="20"/>
              </w:rPr>
              <w:t xml:space="preserve"> </w:t>
            </w:r>
          </w:p>
          <w:p w14:paraId="4B601836" w14:textId="77777777" w:rsidR="00D3578F" w:rsidRPr="00766C4D" w:rsidRDefault="00D3578F" w:rsidP="00DA2575">
            <w:pPr>
              <w:pStyle w:val="bodytextcontinued0"/>
              <w:numPr>
                <w:ilvl w:val="0"/>
                <w:numId w:val="27"/>
              </w:numPr>
              <w:spacing w:after="0"/>
              <w:rPr>
                <w:rFonts w:cstheme="minorHAnsi"/>
                <w:iCs/>
                <w:szCs w:val="20"/>
              </w:rPr>
            </w:pPr>
            <w:r w:rsidRPr="00766C4D">
              <w:rPr>
                <w:rFonts w:cstheme="minorHAnsi"/>
                <w:iCs/>
                <w:szCs w:val="20"/>
              </w:rPr>
              <w:t>Hire, reorganize, or detail new staff to support increased volume of renewals to ensure timely review</w:t>
            </w:r>
          </w:p>
          <w:p w14:paraId="18EF398B" w14:textId="68ED2D1E" w:rsidR="00DF383F" w:rsidRPr="00766C4D" w:rsidRDefault="00DF383F" w:rsidP="00DA2575">
            <w:pPr>
              <w:pStyle w:val="bodytextcontinued0"/>
              <w:numPr>
                <w:ilvl w:val="0"/>
                <w:numId w:val="6"/>
              </w:numPr>
              <w:spacing w:after="0"/>
              <w:rPr>
                <w:rFonts w:cstheme="minorHAnsi"/>
                <w:iCs/>
                <w:szCs w:val="20"/>
              </w:rPr>
            </w:pPr>
            <w:r w:rsidRPr="00766C4D">
              <w:rPr>
                <w:rFonts w:cstheme="minorHAnsi"/>
                <w:b/>
                <w:iCs/>
                <w:szCs w:val="20"/>
              </w:rPr>
              <w:t>System</w:t>
            </w:r>
            <w:r w:rsidRPr="00766C4D">
              <w:rPr>
                <w:rFonts w:cstheme="minorHAnsi"/>
                <w:iCs/>
                <w:szCs w:val="20"/>
              </w:rPr>
              <w:t>:</w:t>
            </w:r>
            <w:r w:rsidR="00E73D99">
              <w:rPr>
                <w:rFonts w:cstheme="minorHAnsi"/>
                <w:iCs/>
                <w:szCs w:val="20"/>
              </w:rPr>
              <w:t xml:space="preserve"> </w:t>
            </w:r>
            <w:r w:rsidRPr="00766C4D">
              <w:rPr>
                <w:rFonts w:cstheme="minorHAnsi"/>
                <w:iCs/>
                <w:szCs w:val="20"/>
              </w:rPr>
              <w:t xml:space="preserve">E&amp;E or Fair Hearing system – Build enhancements to telephonic and online user interface for fair hearing request and evidence submission </w:t>
            </w:r>
          </w:p>
          <w:p w14:paraId="2C7F58EC" w14:textId="78D3D07E" w:rsidR="00DF383F" w:rsidRPr="00766C4D" w:rsidRDefault="00DF383F" w:rsidP="00DA2575">
            <w:pPr>
              <w:pStyle w:val="bodytextcontinued0"/>
              <w:numPr>
                <w:ilvl w:val="0"/>
                <w:numId w:val="6"/>
              </w:numPr>
              <w:spacing w:after="0"/>
              <w:rPr>
                <w:rFonts w:cstheme="minorHAnsi"/>
                <w:iCs/>
                <w:szCs w:val="20"/>
              </w:rPr>
            </w:pPr>
            <w:r w:rsidRPr="00D265B9">
              <w:rPr>
                <w:rFonts w:cstheme="minorHAnsi"/>
                <w:b/>
                <w:iCs/>
                <w:szCs w:val="20"/>
              </w:rPr>
              <w:t>Training</w:t>
            </w:r>
            <w:r w:rsidRPr="00766C4D">
              <w:rPr>
                <w:rFonts w:cstheme="minorHAnsi"/>
                <w:b/>
                <w:iCs/>
                <w:szCs w:val="20"/>
              </w:rPr>
              <w:t>:</w:t>
            </w:r>
            <w:r w:rsidR="00E73D99">
              <w:rPr>
                <w:rFonts w:cstheme="minorHAnsi"/>
                <w:iCs/>
                <w:szCs w:val="20"/>
              </w:rPr>
              <w:t xml:space="preserve"> </w:t>
            </w:r>
            <w:r w:rsidRPr="00766C4D">
              <w:rPr>
                <w:rFonts w:cstheme="minorHAnsi"/>
                <w:iCs/>
                <w:szCs w:val="20"/>
              </w:rPr>
              <w:t>Train staff across multiple parts of the E&amp;E process of the revised fair hearing processes including:</w:t>
            </w:r>
            <w:r w:rsidR="00E73D99">
              <w:rPr>
                <w:rFonts w:cstheme="minorHAnsi"/>
                <w:iCs/>
                <w:szCs w:val="20"/>
              </w:rPr>
              <w:t xml:space="preserve"> </w:t>
            </w:r>
            <w:r w:rsidRPr="00766C4D">
              <w:rPr>
                <w:rFonts w:cstheme="minorHAnsi"/>
                <w:iCs/>
                <w:szCs w:val="20"/>
              </w:rPr>
              <w:t xml:space="preserve">eligibility staff, call center, managed care plans, fair hearing office staff. </w:t>
            </w:r>
          </w:p>
          <w:p w14:paraId="2C831DE4" w14:textId="3C24B5F6" w:rsidR="00DF383F" w:rsidRPr="00D265B9" w:rsidRDefault="00DF383F" w:rsidP="00DA2575">
            <w:pPr>
              <w:pStyle w:val="bodytextcontinued0"/>
              <w:numPr>
                <w:ilvl w:val="0"/>
                <w:numId w:val="6"/>
              </w:numPr>
              <w:spacing w:after="0"/>
              <w:rPr>
                <w:rFonts w:cstheme="minorHAnsi"/>
                <w:iCs/>
                <w:szCs w:val="20"/>
              </w:rPr>
            </w:pPr>
            <w:r w:rsidRPr="00D265B9">
              <w:rPr>
                <w:rFonts w:cstheme="minorHAnsi"/>
                <w:b/>
                <w:bCs/>
                <w:iCs/>
                <w:szCs w:val="20"/>
              </w:rPr>
              <w:t xml:space="preserve">Other: </w:t>
            </w:r>
            <w:r w:rsidR="00022744" w:rsidRPr="00D265B9">
              <w:rPr>
                <w:rFonts w:cstheme="minorHAnsi"/>
                <w:iCs/>
                <w:szCs w:val="20"/>
              </w:rPr>
              <w:t xml:space="preserve">Assess </w:t>
            </w:r>
            <w:r w:rsidR="000646D0" w:rsidRPr="00D265B9">
              <w:rPr>
                <w:rFonts w:cstheme="minorHAnsi"/>
                <w:iCs/>
                <w:szCs w:val="20"/>
              </w:rPr>
              <w:t>notice language</w:t>
            </w:r>
            <w:r w:rsidR="00022744" w:rsidRPr="00D265B9">
              <w:rPr>
                <w:rFonts w:cstheme="minorHAnsi"/>
                <w:iCs/>
                <w:szCs w:val="20"/>
              </w:rPr>
              <w:t xml:space="preserve"> for</w:t>
            </w:r>
            <w:r w:rsidR="000646D0" w:rsidRPr="00D265B9">
              <w:rPr>
                <w:rFonts w:cstheme="minorHAnsi"/>
                <w:iCs/>
                <w:szCs w:val="20"/>
              </w:rPr>
              <w:t xml:space="preserve"> readability and </w:t>
            </w:r>
            <w:r w:rsidR="00022744" w:rsidRPr="00131078">
              <w:rPr>
                <w:rFonts w:cstheme="minorHAnsi"/>
                <w:iCs/>
                <w:szCs w:val="20"/>
              </w:rPr>
              <w:t>accuracy of information about the appeals process, including regarding</w:t>
            </w:r>
            <w:r w:rsidRPr="00131078">
              <w:rPr>
                <w:rFonts w:cstheme="minorHAnsi"/>
                <w:iCs/>
                <w:szCs w:val="20"/>
              </w:rPr>
              <w:t xml:space="preserve"> informal resolution option</w:t>
            </w:r>
            <w:r w:rsidR="00022744" w:rsidRPr="00131078">
              <w:rPr>
                <w:rFonts w:cstheme="minorHAnsi"/>
                <w:iCs/>
                <w:szCs w:val="20"/>
              </w:rPr>
              <w:t>, and update as necessary.</w:t>
            </w:r>
            <w:r w:rsidRPr="00D265B9">
              <w:rPr>
                <w:rFonts w:cstheme="minorHAnsi"/>
                <w:iCs/>
                <w:szCs w:val="20"/>
              </w:rPr>
              <w:t xml:space="preserve"> </w:t>
            </w:r>
          </w:p>
          <w:p w14:paraId="3D1E8A98" w14:textId="77777777" w:rsidR="00DF383F" w:rsidRPr="00766C4D" w:rsidRDefault="00DF383F" w:rsidP="00037620">
            <w:pPr>
              <w:pStyle w:val="bodytextcontinued0"/>
              <w:spacing w:after="0"/>
              <w:rPr>
                <w:rFonts w:cstheme="minorHAnsi"/>
                <w:iCs/>
                <w:szCs w:val="20"/>
              </w:rPr>
            </w:pPr>
          </w:p>
        </w:tc>
        <w:tc>
          <w:tcPr>
            <w:tcW w:w="834" w:type="pct"/>
            <w:tcBorders>
              <w:top w:val="single" w:sz="4" w:space="0" w:color="000000" w:themeColor="text1"/>
              <w:bottom w:val="single" w:sz="4" w:space="0" w:color="000000" w:themeColor="text1"/>
            </w:tcBorders>
          </w:tcPr>
          <w:p w14:paraId="57B7D018" w14:textId="70703596" w:rsidR="00DF383F" w:rsidRDefault="00DF383F" w:rsidP="00DA2575">
            <w:pPr>
              <w:pStyle w:val="bodytextcontinued0"/>
              <w:numPr>
                <w:ilvl w:val="0"/>
                <w:numId w:val="6"/>
              </w:numPr>
              <w:spacing w:after="0"/>
              <w:rPr>
                <w:rFonts w:cstheme="minorHAnsi"/>
                <w:b/>
                <w:bCs/>
                <w:iCs/>
                <w:szCs w:val="20"/>
              </w:rPr>
            </w:pPr>
            <w:r>
              <w:rPr>
                <w:rFonts w:cstheme="minorHAnsi"/>
                <w:b/>
                <w:bCs/>
                <w:iCs/>
                <w:szCs w:val="20"/>
              </w:rPr>
              <w:lastRenderedPageBreak/>
              <w:t>Approach</w:t>
            </w:r>
            <w:r w:rsidRPr="000646D0">
              <w:rPr>
                <w:rFonts w:cstheme="minorHAnsi"/>
                <w:bCs/>
                <w:iCs/>
                <w:szCs w:val="20"/>
              </w:rPr>
              <w:t xml:space="preserve">: </w:t>
            </w:r>
            <w:r w:rsidR="000646D0">
              <w:rPr>
                <w:rFonts w:cstheme="minorHAnsi"/>
                <w:bCs/>
                <w:iCs/>
                <w:szCs w:val="20"/>
              </w:rPr>
              <w:t>[</w:t>
            </w:r>
            <w:r w:rsidR="00D3578F">
              <w:rPr>
                <w:rFonts w:cstheme="minorHAnsi"/>
                <w:bCs/>
                <w:iCs/>
                <w:szCs w:val="20"/>
              </w:rPr>
              <w:t>T</w:t>
            </w:r>
            <w:r w:rsidRPr="000646D0">
              <w:rPr>
                <w:rFonts w:cstheme="minorHAnsi"/>
                <w:bCs/>
                <w:iCs/>
                <w:szCs w:val="20"/>
              </w:rPr>
              <w:t>o be populated</w:t>
            </w:r>
            <w:r w:rsidR="000646D0">
              <w:rPr>
                <w:rFonts w:cstheme="minorHAnsi"/>
                <w:bCs/>
                <w:iCs/>
                <w:szCs w:val="20"/>
              </w:rPr>
              <w:t>]</w:t>
            </w:r>
          </w:p>
          <w:p w14:paraId="41B7119E" w14:textId="77777777" w:rsidR="00DF383F" w:rsidRPr="00D265B9" w:rsidRDefault="00DF383F" w:rsidP="00DA2575">
            <w:pPr>
              <w:pStyle w:val="bodytextcontinued0"/>
              <w:numPr>
                <w:ilvl w:val="0"/>
                <w:numId w:val="6"/>
              </w:numPr>
              <w:spacing w:after="0"/>
              <w:rPr>
                <w:rFonts w:cstheme="minorHAnsi"/>
                <w:b/>
                <w:bCs/>
                <w:iCs/>
                <w:szCs w:val="20"/>
              </w:rPr>
            </w:pPr>
            <w:r w:rsidRPr="00766C4D">
              <w:rPr>
                <w:rFonts w:cstheme="minorHAnsi"/>
                <w:b/>
                <w:bCs/>
                <w:iCs/>
                <w:szCs w:val="20"/>
              </w:rPr>
              <w:lastRenderedPageBreak/>
              <w:t>Target:</w:t>
            </w:r>
            <w:r w:rsidRPr="00766C4D">
              <w:rPr>
                <w:rFonts w:cstheme="minorHAnsi"/>
                <w:iCs/>
                <w:szCs w:val="20"/>
              </w:rPr>
              <w:t xml:space="preserve"> Complete processing of fair hearings received by the end of the 3</w:t>
            </w:r>
            <w:r w:rsidRPr="00766C4D">
              <w:rPr>
                <w:rFonts w:cstheme="minorHAnsi"/>
                <w:iCs/>
                <w:szCs w:val="20"/>
                <w:vertAlign w:val="superscript"/>
              </w:rPr>
              <w:t>rd</w:t>
            </w:r>
            <w:r w:rsidRPr="00766C4D">
              <w:rPr>
                <w:rFonts w:cstheme="minorHAnsi"/>
                <w:iCs/>
                <w:szCs w:val="20"/>
              </w:rPr>
              <w:t xml:space="preserve"> month (or relevant state time limit, if shorter) after receipt of fair hearing request (timely processing).</w:t>
            </w:r>
          </w:p>
        </w:tc>
        <w:tc>
          <w:tcPr>
            <w:tcW w:w="650" w:type="pct"/>
            <w:tcBorders>
              <w:top w:val="single" w:sz="4" w:space="0" w:color="000000" w:themeColor="text1"/>
              <w:bottom w:val="single" w:sz="4" w:space="0" w:color="000000" w:themeColor="text1"/>
            </w:tcBorders>
          </w:tcPr>
          <w:p w14:paraId="272BBFA1" w14:textId="46B1D8D4" w:rsidR="00DF383F" w:rsidRDefault="00DF383F" w:rsidP="00DA2575">
            <w:pPr>
              <w:pStyle w:val="bodytextcontinued0"/>
              <w:numPr>
                <w:ilvl w:val="0"/>
                <w:numId w:val="6"/>
              </w:numPr>
              <w:spacing w:after="0"/>
              <w:rPr>
                <w:rFonts w:cstheme="minorHAnsi"/>
                <w:szCs w:val="20"/>
              </w:rPr>
            </w:pPr>
            <w:r>
              <w:rPr>
                <w:rFonts w:cstheme="minorHAnsi"/>
                <w:szCs w:val="20"/>
              </w:rPr>
              <w:lastRenderedPageBreak/>
              <w:t xml:space="preserve">Structure of fair hearing process </w:t>
            </w:r>
            <w:r>
              <w:rPr>
                <w:rFonts w:cstheme="minorHAnsi"/>
                <w:szCs w:val="20"/>
              </w:rPr>
              <w:lastRenderedPageBreak/>
              <w:t>(e.g.</w:t>
            </w:r>
            <w:r w:rsidR="00386C08">
              <w:rPr>
                <w:rFonts w:cstheme="minorHAnsi"/>
                <w:szCs w:val="20"/>
              </w:rPr>
              <w:t>,</w:t>
            </w:r>
            <w:r>
              <w:rPr>
                <w:rFonts w:cstheme="minorHAnsi"/>
                <w:szCs w:val="20"/>
              </w:rPr>
              <w:t xml:space="preserve"> separate agencies between eligibility, single state agency, and fair hearings</w:t>
            </w:r>
          </w:p>
        </w:tc>
      </w:tr>
    </w:tbl>
    <w:p w14:paraId="7F87F925" w14:textId="77777777" w:rsidR="00DF383F" w:rsidRDefault="00DF383F" w:rsidP="00DF383F">
      <w:pPr>
        <w:tabs>
          <w:tab w:val="left" w:pos="720"/>
        </w:tabs>
        <w:ind w:left="1080"/>
        <w:rPr>
          <w:rFonts w:asciiTheme="majorHAnsi" w:eastAsiaTheme="majorEastAsia" w:hAnsiTheme="majorHAnsi" w:cstheme="majorBidi"/>
          <w:b/>
          <w:bCs/>
          <w:i/>
          <w:iCs/>
          <w:color w:val="365F91" w:themeColor="accent1" w:themeShade="BF"/>
          <w:sz w:val="28"/>
          <w:szCs w:val="28"/>
          <w:highlight w:val="green"/>
        </w:rPr>
      </w:pPr>
    </w:p>
    <w:p w14:paraId="1E6E079D" w14:textId="77777777" w:rsidR="00DF383F" w:rsidRPr="00DF383F" w:rsidRDefault="00DF383F" w:rsidP="00DF383F">
      <w:pPr>
        <w:pStyle w:val="ListParagraph"/>
        <w:tabs>
          <w:tab w:val="left" w:pos="720"/>
        </w:tabs>
        <w:ind w:left="1440"/>
        <w:rPr>
          <w:rFonts w:asciiTheme="majorHAnsi" w:eastAsiaTheme="majorEastAsia" w:hAnsiTheme="majorHAnsi" w:cstheme="majorBidi"/>
          <w:b/>
          <w:bCs/>
          <w:i/>
          <w:iCs/>
          <w:color w:val="365F91" w:themeColor="accent1" w:themeShade="BF"/>
          <w:sz w:val="28"/>
          <w:szCs w:val="28"/>
        </w:rPr>
      </w:pPr>
    </w:p>
    <w:p w14:paraId="7E26DF95" w14:textId="339FEAC0" w:rsidR="00A50A73" w:rsidRPr="002F3CAC" w:rsidRDefault="00A50A73" w:rsidP="00DA2575">
      <w:pPr>
        <w:pStyle w:val="ListParagraph"/>
        <w:numPr>
          <w:ilvl w:val="0"/>
          <w:numId w:val="4"/>
        </w:numPr>
        <w:tabs>
          <w:tab w:val="left" w:pos="720"/>
        </w:tabs>
        <w:rPr>
          <w:rFonts w:asciiTheme="majorHAnsi" w:eastAsiaTheme="majorEastAsia" w:hAnsiTheme="majorHAnsi" w:cstheme="majorBidi"/>
          <w:b/>
          <w:bCs/>
          <w:i/>
          <w:iCs/>
          <w:color w:val="365F91" w:themeColor="accent1" w:themeShade="BF"/>
          <w:sz w:val="28"/>
          <w:szCs w:val="28"/>
        </w:rPr>
      </w:pPr>
      <w:r w:rsidRPr="002F3CAC">
        <w:rPr>
          <w:rFonts w:asciiTheme="majorHAnsi" w:hAnsiTheme="majorHAnsi" w:cstheme="minorHAnsi"/>
          <w:b/>
          <w:bCs/>
          <w:i/>
          <w:iCs/>
          <w:color w:val="365F91" w:themeColor="accent1" w:themeShade="BF"/>
          <w:sz w:val="28"/>
          <w:szCs w:val="28"/>
        </w:rPr>
        <w:t>Outreach</w:t>
      </w:r>
      <w:r w:rsidRPr="002F3CAC">
        <w:rPr>
          <w:rFonts w:asciiTheme="majorHAnsi" w:eastAsiaTheme="majorEastAsia" w:hAnsiTheme="majorHAnsi" w:cstheme="majorBidi"/>
          <w:b/>
          <w:bCs/>
          <w:i/>
          <w:iCs/>
          <w:color w:val="365F91" w:themeColor="accent1" w:themeShade="BF"/>
          <w:sz w:val="28"/>
          <w:szCs w:val="28"/>
        </w:rPr>
        <w:t xml:space="preserve"> and Communications Plan</w:t>
      </w:r>
    </w:p>
    <w:p w14:paraId="345C5742" w14:textId="77777777" w:rsidR="00A50A73" w:rsidRPr="00985B34" w:rsidRDefault="00A50A73" w:rsidP="00A50A73">
      <w:pPr>
        <w:ind w:left="450"/>
        <w:rPr>
          <w:i/>
          <w:iCs/>
        </w:rPr>
      </w:pPr>
    </w:p>
    <w:p w14:paraId="558C49D4" w14:textId="551DC756" w:rsidR="00A50A73" w:rsidRPr="00985B34" w:rsidRDefault="00A50A73" w:rsidP="00A50A73">
      <w:pPr>
        <w:ind w:left="1080"/>
        <w:contextualSpacing/>
        <w:rPr>
          <w:rFonts w:eastAsia="Calibri"/>
        </w:rPr>
      </w:pPr>
      <w:r w:rsidRPr="00985B34">
        <w:rPr>
          <w:rFonts w:eastAsia="Calibri"/>
        </w:rPr>
        <w:t>Reflect on the ways in which information about the resolution of renewals and other E&amp;E actions and resumption of normal operations will be communicated with appropriate stakeholders in a timely manner</w:t>
      </w:r>
      <w:r w:rsidR="003C41BC">
        <w:rPr>
          <w:rFonts w:eastAsia="Calibri"/>
        </w:rPr>
        <w:t xml:space="preserve">. </w:t>
      </w:r>
      <w:r w:rsidRPr="00985B34">
        <w:rPr>
          <w:rFonts w:eastAsia="Calibri"/>
        </w:rPr>
        <w:t>Example areas to consider include:</w:t>
      </w:r>
    </w:p>
    <w:p w14:paraId="01F93578" w14:textId="77777777" w:rsidR="00A50A73" w:rsidRPr="00985B34" w:rsidRDefault="00A50A73" w:rsidP="00DA2575">
      <w:pPr>
        <w:numPr>
          <w:ilvl w:val="0"/>
          <w:numId w:val="5"/>
        </w:numPr>
        <w:ind w:left="1800"/>
        <w:rPr>
          <w:rFonts w:eastAsia="Calibri"/>
        </w:rPr>
      </w:pPr>
      <w:r w:rsidRPr="00985B34">
        <w:rPr>
          <w:rFonts w:eastAsia="Calibri"/>
          <w:b/>
          <w:bCs/>
        </w:rPr>
        <w:t>Audience(s)</w:t>
      </w:r>
      <w:r w:rsidRPr="00985B34">
        <w:rPr>
          <w:rFonts w:eastAsia="Calibri"/>
        </w:rPr>
        <w:t xml:space="preserve">: Who are the core audiences? Should there be targeted outreach and communication strategies for certain populations? </w:t>
      </w:r>
    </w:p>
    <w:p w14:paraId="5084DBD7" w14:textId="5F74F998" w:rsidR="00A50A73" w:rsidRPr="00985B34" w:rsidRDefault="00A50A73" w:rsidP="00DA2575">
      <w:pPr>
        <w:numPr>
          <w:ilvl w:val="0"/>
          <w:numId w:val="5"/>
        </w:numPr>
        <w:ind w:left="1800"/>
        <w:rPr>
          <w:rFonts w:eastAsia="Calibri"/>
        </w:rPr>
      </w:pPr>
      <w:r w:rsidRPr="00985B34">
        <w:rPr>
          <w:rFonts w:eastAsia="Calibri"/>
          <w:b/>
          <w:bCs/>
        </w:rPr>
        <w:t>Key messages</w:t>
      </w:r>
      <w:r w:rsidRPr="00985B34">
        <w:rPr>
          <w:rFonts w:eastAsia="Calibri"/>
        </w:rPr>
        <w:t xml:space="preserve">: What is the most important information to be communicated to these audiences about resuming normal operations after the </w:t>
      </w:r>
      <w:r w:rsidR="00BF44BE">
        <w:rPr>
          <w:rFonts w:eastAsia="Calibri"/>
        </w:rPr>
        <w:t>continuous enrollment condition</w:t>
      </w:r>
      <w:r w:rsidR="00BA5E9D">
        <w:rPr>
          <w:rFonts w:eastAsia="Calibri"/>
        </w:rPr>
        <w:t xml:space="preserve"> ends</w:t>
      </w:r>
      <w:r w:rsidRPr="00985B34">
        <w:rPr>
          <w:rFonts w:eastAsia="Calibri"/>
        </w:rPr>
        <w:t>?</w:t>
      </w:r>
    </w:p>
    <w:p w14:paraId="13F29722" w14:textId="77777777" w:rsidR="00A50A73" w:rsidRPr="00985B34" w:rsidRDefault="00A50A73" w:rsidP="00DA2575">
      <w:pPr>
        <w:numPr>
          <w:ilvl w:val="0"/>
          <w:numId w:val="5"/>
        </w:numPr>
        <w:ind w:left="1800"/>
        <w:rPr>
          <w:rFonts w:eastAsia="Calibri"/>
        </w:rPr>
      </w:pPr>
      <w:r w:rsidRPr="00985B34">
        <w:rPr>
          <w:rFonts w:eastAsia="Calibri"/>
          <w:b/>
          <w:bCs/>
        </w:rPr>
        <w:lastRenderedPageBreak/>
        <w:t>Methods and tools</w:t>
      </w:r>
      <w:r w:rsidRPr="00985B34">
        <w:rPr>
          <w:rFonts w:eastAsia="Calibri"/>
        </w:rPr>
        <w:t>: What communication methods and tools are available? Are there existing communication tools and delivery methods that can be leveraged? Consider: agency websites, social media post</w:t>
      </w:r>
      <w:r w:rsidR="004D280E">
        <w:rPr>
          <w:rFonts w:eastAsia="Calibri"/>
        </w:rPr>
        <w:t>s</w:t>
      </w:r>
      <w:r w:rsidRPr="00985B34">
        <w:rPr>
          <w:rFonts w:eastAsia="Calibri"/>
        </w:rPr>
        <w:t>, blog posts, bulletin board notices, targeted e-mail correspondence, webinars, press releases, newsletters, etc., as well as potential partnerships</w:t>
      </w:r>
      <w:r w:rsidR="00101CFA">
        <w:rPr>
          <w:rFonts w:eastAsia="Calibri"/>
        </w:rPr>
        <w:t xml:space="preserve"> (e.g., earned media, sister agency engagement, </w:t>
      </w:r>
      <w:r w:rsidR="009E68E9">
        <w:rPr>
          <w:rFonts w:eastAsia="Calibri"/>
        </w:rPr>
        <w:t>faith-based partnerships)</w:t>
      </w:r>
      <w:r w:rsidRPr="00985B34">
        <w:rPr>
          <w:rFonts w:eastAsia="Calibri"/>
        </w:rPr>
        <w:t xml:space="preserve">. </w:t>
      </w:r>
    </w:p>
    <w:p w14:paraId="5C9CBD87" w14:textId="77777777" w:rsidR="00A50A73" w:rsidRPr="00985B34" w:rsidRDefault="00A50A73" w:rsidP="00DA2575">
      <w:pPr>
        <w:numPr>
          <w:ilvl w:val="0"/>
          <w:numId w:val="5"/>
        </w:numPr>
        <w:ind w:left="1800"/>
        <w:rPr>
          <w:rFonts w:eastAsia="Calibri"/>
        </w:rPr>
      </w:pPr>
      <w:r w:rsidRPr="00985B34">
        <w:rPr>
          <w:rFonts w:eastAsia="Calibri"/>
          <w:b/>
          <w:bCs/>
        </w:rPr>
        <w:t>State agency lead</w:t>
      </w:r>
      <w:r w:rsidRPr="00985B34">
        <w:rPr>
          <w:rFonts w:eastAsia="Calibri"/>
        </w:rPr>
        <w:t>: What are the internal staff positions and departments within state agencies that will need to be leveraged in order to spread the word about upcoming renewal and E&amp;E changes? If needed, a core communication team may be developed.</w:t>
      </w:r>
    </w:p>
    <w:p w14:paraId="041FDD81" w14:textId="13DD1579" w:rsidR="00A50A73" w:rsidRPr="00985B34" w:rsidRDefault="00A50A73" w:rsidP="00DA2575">
      <w:pPr>
        <w:numPr>
          <w:ilvl w:val="0"/>
          <w:numId w:val="5"/>
        </w:numPr>
        <w:ind w:left="1800"/>
        <w:rPr>
          <w:rFonts w:eastAsia="Calibri"/>
        </w:rPr>
      </w:pPr>
      <w:r w:rsidRPr="00985B34">
        <w:rPr>
          <w:rFonts w:eastAsia="Calibri"/>
          <w:b/>
          <w:bCs/>
        </w:rPr>
        <w:t>Communication partners</w:t>
      </w:r>
      <w:r w:rsidRPr="00985B34">
        <w:rPr>
          <w:rFonts w:eastAsia="Calibri"/>
        </w:rPr>
        <w:t xml:space="preserve">: Who are important partners that can be leveraged by that state to spread information? E.g., state and local agencies, community-based organizations, providers, managed care plans, universities, community colleges, radio stations, etc. </w:t>
      </w:r>
    </w:p>
    <w:p w14:paraId="55816232" w14:textId="77777777" w:rsidR="00A50A73" w:rsidRPr="00985B34" w:rsidRDefault="00A50A73" w:rsidP="00DA2575">
      <w:pPr>
        <w:numPr>
          <w:ilvl w:val="0"/>
          <w:numId w:val="5"/>
        </w:numPr>
        <w:ind w:left="1800"/>
        <w:rPr>
          <w:rFonts w:eastAsia="Calibri"/>
        </w:rPr>
      </w:pPr>
      <w:r w:rsidRPr="00985B34">
        <w:rPr>
          <w:rFonts w:eastAsia="Calibri"/>
          <w:b/>
          <w:bCs/>
        </w:rPr>
        <w:t>Timing</w:t>
      </w:r>
      <w:r w:rsidRPr="00985B34">
        <w:rPr>
          <w:rFonts w:eastAsia="Calibri"/>
        </w:rPr>
        <w:t xml:space="preserve">: What time frame and/or timeline will most efficiently </w:t>
      </w:r>
      <w:r w:rsidR="004D280E">
        <w:rPr>
          <w:rFonts w:eastAsia="Calibri"/>
        </w:rPr>
        <w:t xml:space="preserve">and effectively </w:t>
      </w:r>
      <w:r w:rsidRPr="00985B34">
        <w:rPr>
          <w:rFonts w:eastAsia="Calibri"/>
        </w:rPr>
        <w:t>convey the intended information to stakeholders?</w:t>
      </w:r>
    </w:p>
    <w:p w14:paraId="5FA10B2D" w14:textId="77777777" w:rsidR="00A50A73" w:rsidRPr="00985B34" w:rsidRDefault="00A50A73" w:rsidP="00A50A73">
      <w:pPr>
        <w:ind w:left="720"/>
        <w:rPr>
          <w:rFonts w:eastAsia="Calibri"/>
        </w:rPr>
      </w:pPr>
    </w:p>
    <w:p w14:paraId="610C2F87" w14:textId="44F5E4EA" w:rsidR="0092696E" w:rsidRDefault="0092696E" w:rsidP="00EA2BA4">
      <w:pPr>
        <w:pStyle w:val="ListParagraph"/>
        <w:tabs>
          <w:tab w:val="left" w:pos="720"/>
        </w:tabs>
        <w:ind w:left="1170"/>
      </w:pPr>
      <w:r>
        <w:t xml:space="preserve">For important information to help inform people with Medicaid or CHIP about steps they need to take to renew their coverage, please see the unwinding communications toolkit, </w:t>
      </w:r>
      <w:hyperlink r:id="rId27" w:tooltip="Unwinding and Returning to Regular Operations after COVID-19" w:history="1">
        <w:r w:rsidR="00FE08EE" w:rsidRPr="003D62E5">
          <w:rPr>
            <w:rStyle w:val="Hyperlink"/>
            <w:i/>
            <w:iCs/>
          </w:rPr>
          <w:t>Medicaid and CHIP Continuous Coverage Unwinding Phase I: Plan &amp; Educate</w:t>
        </w:r>
      </w:hyperlink>
      <w:r w:rsidR="00FE08EE" w:rsidRPr="00CD4224">
        <w:t>.</w:t>
      </w:r>
      <w:r>
        <w:t xml:space="preserve"> </w:t>
      </w:r>
    </w:p>
    <w:p w14:paraId="7B4BEFF6" w14:textId="77777777" w:rsidR="0092696E" w:rsidRDefault="0092696E" w:rsidP="00A50A73">
      <w:pPr>
        <w:ind w:left="1170"/>
        <w:rPr>
          <w:rFonts w:eastAsia="Calibri"/>
        </w:rPr>
      </w:pPr>
    </w:p>
    <w:p w14:paraId="4036B695" w14:textId="20942FDC" w:rsidR="00A50A73" w:rsidRPr="00985B34" w:rsidRDefault="00A50A73" w:rsidP="00A50A73">
      <w:pPr>
        <w:ind w:left="1170"/>
        <w:rPr>
          <w:rFonts w:eastAsia="Calibri"/>
        </w:rPr>
      </w:pPr>
      <w:r w:rsidRPr="00985B34">
        <w:rPr>
          <w:rFonts w:eastAsia="Calibri"/>
        </w:rPr>
        <w:t xml:space="preserve">Consider strategies to </w:t>
      </w:r>
      <w:r w:rsidR="00751A9F">
        <w:rPr>
          <w:rFonts w:eastAsia="Calibri"/>
        </w:rPr>
        <w:t>“</w:t>
      </w:r>
      <w:r w:rsidRPr="00985B34">
        <w:rPr>
          <w:rFonts w:eastAsia="Calibri"/>
        </w:rPr>
        <w:t>Improve Consumer Outreach, Communication, and Assistance</w:t>
      </w:r>
      <w:r w:rsidR="00751A9F">
        <w:rPr>
          <w:rFonts w:eastAsia="Calibri"/>
        </w:rPr>
        <w:t xml:space="preserve">” within the </w:t>
      </w:r>
      <w:hyperlink r:id="rId28" w:tooltip="Strategies States and the U.S. Territories Can Adopt to Maintain Coverage of Eligible Individuals as They Return to Normal Operations." w:history="1">
        <w:r w:rsidR="00183585">
          <w:rPr>
            <w:rStyle w:val="Hyperlink"/>
            <w:rFonts w:eastAsia="Calibri"/>
            <w:i/>
            <w:iCs/>
          </w:rPr>
          <w:t>November 2021 Strategies States and the U.S. Territories Can Adopt to Maintain Coverage of Eligible Individuals as They Return to Normal Operations</w:t>
        </w:r>
      </w:hyperlink>
      <w:r w:rsidR="00183585">
        <w:rPr>
          <w:rFonts w:eastAsia="Calibri"/>
          <w:i/>
          <w:iCs/>
        </w:rPr>
        <w:t>.</w:t>
      </w:r>
      <w:r w:rsidR="000555D6" w:rsidRPr="00131078">
        <w:rPr>
          <w:rFonts w:eastAsia="Calibri"/>
          <w:i/>
          <w:iCs/>
        </w:rPr>
        <w:t xml:space="preserve"> </w:t>
      </w:r>
      <w:r w:rsidR="002C3621">
        <w:rPr>
          <w:rFonts w:eastAsia="Calibri"/>
          <w:i/>
          <w:iCs/>
        </w:rPr>
        <w:t xml:space="preserve"> </w:t>
      </w:r>
      <w:r w:rsidR="000555D6">
        <w:rPr>
          <w:rFonts w:eastAsia="Calibri"/>
        </w:rPr>
        <w:t xml:space="preserve">Example rows are provided below. </w:t>
      </w:r>
    </w:p>
    <w:p w14:paraId="0E0747ED" w14:textId="77777777" w:rsidR="00A50A73" w:rsidRPr="00985B34" w:rsidRDefault="00A50A73" w:rsidP="00A50A73">
      <w:pPr>
        <w:ind w:left="720"/>
        <w:rPr>
          <w:rFonts w:eastAsia="Calibri"/>
        </w:rPr>
      </w:pPr>
    </w:p>
    <w:tbl>
      <w:tblPr>
        <w:tblStyle w:val="TableGrid1"/>
        <w:tblW w:w="4741" w:type="pct"/>
        <w:jc w:val="center"/>
        <w:tblLook w:val="04A0" w:firstRow="1" w:lastRow="0" w:firstColumn="1" w:lastColumn="0" w:noHBand="0" w:noVBand="1"/>
      </w:tblPr>
      <w:tblGrid>
        <w:gridCol w:w="2048"/>
        <w:gridCol w:w="3281"/>
        <w:gridCol w:w="4080"/>
        <w:gridCol w:w="2594"/>
        <w:gridCol w:w="2112"/>
        <w:gridCol w:w="2260"/>
      </w:tblGrid>
      <w:tr w:rsidR="00A50A73" w:rsidRPr="00985B34" w14:paraId="2645174F" w14:textId="77777777" w:rsidTr="00372D8E">
        <w:trPr>
          <w:trHeight w:val="764"/>
          <w:tblHeader/>
          <w:jc w:val="center"/>
        </w:trPr>
        <w:tc>
          <w:tcPr>
            <w:tcW w:w="625" w:type="pct"/>
            <w:shd w:val="clear" w:color="auto" w:fill="4F81BD" w:themeFill="accent1"/>
          </w:tcPr>
          <w:p w14:paraId="485F01C0" w14:textId="77777777" w:rsidR="00A50A73" w:rsidRPr="00372D8E" w:rsidRDefault="00A50A73" w:rsidP="00386AAB">
            <w:pPr>
              <w:jc w:val="center"/>
              <w:rPr>
                <w:rFonts w:eastAsia="Calibri"/>
                <w:b/>
                <w:bCs/>
              </w:rPr>
            </w:pPr>
            <w:r w:rsidRPr="00372D8E">
              <w:rPr>
                <w:rFonts w:eastAsia="Calibri"/>
                <w:b/>
                <w:bCs/>
              </w:rPr>
              <w:t>Core Audience(s)</w:t>
            </w:r>
          </w:p>
        </w:tc>
        <w:tc>
          <w:tcPr>
            <w:tcW w:w="1002" w:type="pct"/>
            <w:shd w:val="clear" w:color="auto" w:fill="4F81BD" w:themeFill="accent1"/>
          </w:tcPr>
          <w:p w14:paraId="7FD2F47E" w14:textId="77777777" w:rsidR="00A50A73" w:rsidRPr="00372D8E" w:rsidRDefault="00A50A73" w:rsidP="00386AAB">
            <w:pPr>
              <w:jc w:val="center"/>
              <w:rPr>
                <w:rFonts w:eastAsia="Calibri"/>
                <w:b/>
                <w:bCs/>
              </w:rPr>
            </w:pPr>
            <w:r w:rsidRPr="00372D8E">
              <w:rPr>
                <w:rFonts w:eastAsia="Calibri"/>
                <w:b/>
                <w:bCs/>
              </w:rPr>
              <w:t>Key Messages</w:t>
            </w:r>
          </w:p>
        </w:tc>
        <w:tc>
          <w:tcPr>
            <w:tcW w:w="1246" w:type="pct"/>
            <w:shd w:val="clear" w:color="auto" w:fill="4F81BD" w:themeFill="accent1"/>
          </w:tcPr>
          <w:p w14:paraId="5AFA8C7E" w14:textId="77777777" w:rsidR="00A50A73" w:rsidRPr="00372D8E" w:rsidRDefault="00A50A73" w:rsidP="00386AAB">
            <w:pPr>
              <w:jc w:val="center"/>
              <w:rPr>
                <w:rFonts w:eastAsia="Calibri"/>
                <w:b/>
                <w:bCs/>
              </w:rPr>
            </w:pPr>
            <w:r w:rsidRPr="00372D8E">
              <w:rPr>
                <w:rFonts w:eastAsia="Calibri"/>
                <w:b/>
                <w:bCs/>
              </w:rPr>
              <w:t>Communication Methods and Tools</w:t>
            </w:r>
          </w:p>
        </w:tc>
        <w:tc>
          <w:tcPr>
            <w:tcW w:w="792" w:type="pct"/>
            <w:shd w:val="clear" w:color="auto" w:fill="4F81BD" w:themeFill="accent1"/>
          </w:tcPr>
          <w:p w14:paraId="58ECAE64" w14:textId="77777777" w:rsidR="00A50A73" w:rsidRPr="00372D8E" w:rsidRDefault="00A50A73" w:rsidP="00386AAB">
            <w:pPr>
              <w:jc w:val="center"/>
              <w:rPr>
                <w:rFonts w:eastAsia="Calibri"/>
                <w:b/>
                <w:bCs/>
              </w:rPr>
            </w:pPr>
            <w:r w:rsidRPr="00372D8E">
              <w:rPr>
                <w:rFonts w:eastAsia="Calibri"/>
                <w:b/>
                <w:bCs/>
              </w:rPr>
              <w:t>Communication Partners</w:t>
            </w:r>
          </w:p>
        </w:tc>
        <w:tc>
          <w:tcPr>
            <w:tcW w:w="645" w:type="pct"/>
            <w:shd w:val="clear" w:color="auto" w:fill="4F81BD" w:themeFill="accent1"/>
          </w:tcPr>
          <w:p w14:paraId="0AEB0C65" w14:textId="77777777" w:rsidR="00A50A73" w:rsidRPr="00372D8E" w:rsidRDefault="00A50A73" w:rsidP="00386AAB">
            <w:pPr>
              <w:jc w:val="center"/>
              <w:rPr>
                <w:rFonts w:eastAsia="Calibri"/>
                <w:b/>
                <w:bCs/>
              </w:rPr>
            </w:pPr>
            <w:r w:rsidRPr="00372D8E">
              <w:rPr>
                <w:rFonts w:eastAsia="Calibri"/>
                <w:b/>
                <w:bCs/>
              </w:rPr>
              <w:t>State Agency Lead</w:t>
            </w:r>
          </w:p>
        </w:tc>
        <w:tc>
          <w:tcPr>
            <w:tcW w:w="691" w:type="pct"/>
            <w:shd w:val="clear" w:color="auto" w:fill="4F81BD" w:themeFill="accent1"/>
          </w:tcPr>
          <w:p w14:paraId="76473EE7" w14:textId="77777777" w:rsidR="00A50A73" w:rsidRPr="00372D8E" w:rsidRDefault="00A50A73" w:rsidP="00386AAB">
            <w:pPr>
              <w:jc w:val="center"/>
              <w:rPr>
                <w:rFonts w:eastAsia="Calibri"/>
                <w:b/>
                <w:bCs/>
              </w:rPr>
            </w:pPr>
            <w:r w:rsidRPr="00372D8E">
              <w:rPr>
                <w:rFonts w:eastAsia="Calibri"/>
                <w:b/>
                <w:bCs/>
              </w:rPr>
              <w:t>Timing</w:t>
            </w:r>
          </w:p>
        </w:tc>
      </w:tr>
      <w:tr w:rsidR="00A50A73" w:rsidRPr="00985B34" w14:paraId="0E553C15" w14:textId="77777777" w:rsidTr="6493D36F">
        <w:trPr>
          <w:trHeight w:val="1052"/>
          <w:jc w:val="center"/>
        </w:trPr>
        <w:tc>
          <w:tcPr>
            <w:tcW w:w="625" w:type="pct"/>
          </w:tcPr>
          <w:p w14:paraId="439C010C" w14:textId="77777777" w:rsidR="00A50A73" w:rsidRPr="00985B34" w:rsidRDefault="00A50A73" w:rsidP="00386AAB">
            <w:pPr>
              <w:rPr>
                <w:rFonts w:eastAsia="Calibri"/>
                <w:b/>
                <w:bCs/>
                <w:i/>
                <w:iCs/>
              </w:rPr>
            </w:pPr>
          </w:p>
          <w:p w14:paraId="52E110E9" w14:textId="1DAFB0BA" w:rsidR="00A50A73" w:rsidRPr="00985B34" w:rsidRDefault="00A50A73" w:rsidP="00386AAB">
            <w:pPr>
              <w:rPr>
                <w:rFonts w:eastAsia="Calibri"/>
                <w:b/>
                <w:bCs/>
                <w:i/>
                <w:iCs/>
              </w:rPr>
            </w:pPr>
            <w:r w:rsidRPr="00985B34">
              <w:rPr>
                <w:rFonts w:eastAsia="Calibri"/>
                <w:b/>
                <w:bCs/>
                <w:i/>
                <w:iCs/>
              </w:rPr>
              <w:t>Example:</w:t>
            </w:r>
            <w:r w:rsidR="00E73D99">
              <w:rPr>
                <w:rFonts w:eastAsia="Calibri"/>
                <w:b/>
                <w:bCs/>
                <w:i/>
                <w:iCs/>
              </w:rPr>
              <w:t xml:space="preserve"> </w:t>
            </w:r>
            <w:r w:rsidR="005031D3">
              <w:rPr>
                <w:rFonts w:eastAsia="Times New Roman"/>
                <w:lang w:bidi="en-US"/>
              </w:rPr>
              <w:t>I</w:t>
            </w:r>
            <w:r w:rsidR="005031D3" w:rsidRPr="005031D3">
              <w:rPr>
                <w:rFonts w:eastAsia="Calibri"/>
                <w:lang w:bidi="en-US"/>
              </w:rPr>
              <w:t>ndividuals enrolled in Medicaid</w:t>
            </w:r>
            <w:r w:rsidR="005D669F">
              <w:rPr>
                <w:rFonts w:eastAsia="Calibri"/>
                <w:lang w:bidi="en-US"/>
              </w:rPr>
              <w:t xml:space="preserve"> or CHI</w:t>
            </w:r>
            <w:r w:rsidR="00AE1B54">
              <w:rPr>
                <w:rFonts w:eastAsia="Calibri"/>
                <w:lang w:bidi="en-US"/>
              </w:rPr>
              <w:t>P</w:t>
            </w:r>
          </w:p>
        </w:tc>
        <w:tc>
          <w:tcPr>
            <w:tcW w:w="1002" w:type="pct"/>
          </w:tcPr>
          <w:p w14:paraId="1F529589" w14:textId="77777777" w:rsidR="00A50A73" w:rsidRPr="00985B34" w:rsidRDefault="00A50A73" w:rsidP="00386AAB">
            <w:pPr>
              <w:rPr>
                <w:rFonts w:eastAsia="Calibri"/>
                <w:i/>
                <w:iCs/>
                <w:sz w:val="20"/>
                <w:szCs w:val="20"/>
              </w:rPr>
            </w:pPr>
          </w:p>
          <w:p w14:paraId="3E3F68E9" w14:textId="77777777" w:rsidR="00A50A73" w:rsidRPr="00985B34" w:rsidRDefault="00A50A73" w:rsidP="00386AAB">
            <w:pPr>
              <w:rPr>
                <w:rFonts w:eastAsia="Calibri"/>
                <w:i/>
                <w:iCs/>
                <w:sz w:val="20"/>
                <w:szCs w:val="20"/>
              </w:rPr>
            </w:pPr>
            <w:r w:rsidRPr="00985B34">
              <w:rPr>
                <w:rFonts w:eastAsia="Calibri"/>
                <w:i/>
                <w:iCs/>
                <w:sz w:val="20"/>
                <w:szCs w:val="20"/>
              </w:rPr>
              <w:t xml:space="preserve">Renewals are starting </w:t>
            </w:r>
          </w:p>
        </w:tc>
        <w:tc>
          <w:tcPr>
            <w:tcW w:w="1246" w:type="pct"/>
          </w:tcPr>
          <w:p w14:paraId="21A878B4" w14:textId="77777777" w:rsidR="00A50A73" w:rsidRPr="00985B34" w:rsidRDefault="00A50A73" w:rsidP="00386AAB">
            <w:pPr>
              <w:rPr>
                <w:rFonts w:eastAsia="Calibri"/>
                <w:i/>
                <w:iCs/>
                <w:sz w:val="20"/>
                <w:szCs w:val="20"/>
              </w:rPr>
            </w:pPr>
          </w:p>
          <w:p w14:paraId="572B64DC" w14:textId="77777777" w:rsidR="00A50A73" w:rsidRPr="00985B34" w:rsidRDefault="00A50A73" w:rsidP="00386AAB">
            <w:pPr>
              <w:rPr>
                <w:rFonts w:eastAsia="Calibri"/>
                <w:i/>
                <w:iCs/>
                <w:sz w:val="20"/>
                <w:szCs w:val="20"/>
              </w:rPr>
            </w:pPr>
            <w:r w:rsidRPr="00985B34">
              <w:rPr>
                <w:rFonts w:eastAsia="Calibri"/>
                <w:i/>
                <w:iCs/>
                <w:sz w:val="20"/>
                <w:szCs w:val="20"/>
              </w:rPr>
              <w:t>Web, social media, text message, direct phone call, e-mail, direct mail, paid media</w:t>
            </w:r>
          </w:p>
        </w:tc>
        <w:tc>
          <w:tcPr>
            <w:tcW w:w="792" w:type="pct"/>
          </w:tcPr>
          <w:p w14:paraId="36C93319" w14:textId="77777777" w:rsidR="00A50A73" w:rsidRPr="00985B34" w:rsidRDefault="00A50A73" w:rsidP="00386AAB">
            <w:pPr>
              <w:rPr>
                <w:rFonts w:eastAsia="Calibri"/>
                <w:i/>
                <w:iCs/>
                <w:sz w:val="20"/>
                <w:szCs w:val="20"/>
              </w:rPr>
            </w:pPr>
          </w:p>
          <w:p w14:paraId="5FBA247D" w14:textId="77777777" w:rsidR="00A50A73" w:rsidRPr="00985B34" w:rsidRDefault="00A50A73" w:rsidP="00386AAB">
            <w:pPr>
              <w:rPr>
                <w:rFonts w:eastAsia="Calibri"/>
                <w:i/>
                <w:iCs/>
                <w:sz w:val="20"/>
                <w:szCs w:val="20"/>
              </w:rPr>
            </w:pPr>
            <w:r w:rsidRPr="00985B34">
              <w:rPr>
                <w:rFonts w:eastAsia="Calibri"/>
                <w:i/>
                <w:iCs/>
                <w:sz w:val="20"/>
                <w:szCs w:val="20"/>
              </w:rPr>
              <w:t>Managed care plans, providers, community-based organizations</w:t>
            </w:r>
          </w:p>
        </w:tc>
        <w:tc>
          <w:tcPr>
            <w:tcW w:w="645" w:type="pct"/>
          </w:tcPr>
          <w:p w14:paraId="0316CA85" w14:textId="77777777" w:rsidR="00A50A73" w:rsidRPr="00985B34" w:rsidRDefault="00A50A73" w:rsidP="00386AAB">
            <w:pPr>
              <w:rPr>
                <w:rFonts w:eastAsia="Calibri"/>
                <w:i/>
                <w:iCs/>
                <w:sz w:val="20"/>
                <w:szCs w:val="20"/>
              </w:rPr>
            </w:pPr>
          </w:p>
          <w:p w14:paraId="1C641481" w14:textId="77777777" w:rsidR="00A50A73" w:rsidRPr="00985B34" w:rsidRDefault="00A50A73" w:rsidP="00386AAB">
            <w:pPr>
              <w:rPr>
                <w:rFonts w:eastAsia="Calibri"/>
                <w:i/>
                <w:iCs/>
                <w:sz w:val="20"/>
                <w:szCs w:val="20"/>
              </w:rPr>
            </w:pPr>
            <w:r w:rsidRPr="00985B34">
              <w:rPr>
                <w:rFonts w:eastAsia="Calibri"/>
                <w:i/>
                <w:iCs/>
                <w:sz w:val="20"/>
                <w:szCs w:val="20"/>
              </w:rPr>
              <w:t>Marketing manager, public relations officer</w:t>
            </w:r>
          </w:p>
        </w:tc>
        <w:tc>
          <w:tcPr>
            <w:tcW w:w="691" w:type="pct"/>
          </w:tcPr>
          <w:p w14:paraId="46735795" w14:textId="77777777" w:rsidR="00A50A73" w:rsidRPr="00985B34" w:rsidRDefault="00A50A73" w:rsidP="00386AAB">
            <w:pPr>
              <w:rPr>
                <w:rFonts w:eastAsia="Calibri"/>
                <w:i/>
                <w:iCs/>
                <w:sz w:val="20"/>
                <w:szCs w:val="20"/>
              </w:rPr>
            </w:pPr>
          </w:p>
          <w:p w14:paraId="51F3BAE1" w14:textId="6E9DBE76" w:rsidR="00A50A73" w:rsidRPr="00985B34" w:rsidRDefault="003F501D" w:rsidP="00386AAB">
            <w:pPr>
              <w:rPr>
                <w:rFonts w:eastAsia="Calibri"/>
                <w:i/>
                <w:iCs/>
                <w:sz w:val="20"/>
                <w:szCs w:val="20"/>
              </w:rPr>
            </w:pPr>
            <w:r>
              <w:rPr>
                <w:rFonts w:eastAsia="Calibri"/>
                <w:i/>
                <w:iCs/>
                <w:sz w:val="20"/>
                <w:szCs w:val="20"/>
              </w:rPr>
              <w:t xml:space="preserve">2 months prior to the end of the </w:t>
            </w:r>
            <w:r w:rsidR="00BF44BE">
              <w:rPr>
                <w:rFonts w:eastAsia="Calibri"/>
                <w:i/>
                <w:iCs/>
                <w:sz w:val="20"/>
                <w:szCs w:val="20"/>
              </w:rPr>
              <w:t>continuous enrollment condition</w:t>
            </w:r>
            <w:r>
              <w:rPr>
                <w:rFonts w:eastAsia="Calibri"/>
                <w:i/>
                <w:iCs/>
                <w:sz w:val="20"/>
                <w:szCs w:val="20"/>
              </w:rPr>
              <w:t xml:space="preserve"> </w:t>
            </w:r>
          </w:p>
        </w:tc>
      </w:tr>
      <w:tr w:rsidR="00A50A73" w:rsidRPr="00985B34" w14:paraId="7EE101F7" w14:textId="77777777" w:rsidTr="6493D36F">
        <w:trPr>
          <w:jc w:val="center"/>
        </w:trPr>
        <w:tc>
          <w:tcPr>
            <w:tcW w:w="625" w:type="pct"/>
          </w:tcPr>
          <w:p w14:paraId="32EEC367" w14:textId="07D8944B" w:rsidR="00A50A73" w:rsidRPr="00985B34" w:rsidRDefault="00A50A73" w:rsidP="00386AAB">
            <w:pPr>
              <w:rPr>
                <w:rFonts w:eastAsia="Calibri"/>
              </w:rPr>
            </w:pPr>
            <w:r w:rsidRPr="00985B34">
              <w:rPr>
                <w:rFonts w:eastAsia="Calibri"/>
              </w:rPr>
              <w:t>Providers</w:t>
            </w:r>
          </w:p>
        </w:tc>
        <w:tc>
          <w:tcPr>
            <w:tcW w:w="1002" w:type="pct"/>
          </w:tcPr>
          <w:p w14:paraId="0CCB0F8D" w14:textId="77777777" w:rsidR="00A50A73" w:rsidRPr="00985B34" w:rsidRDefault="00A50A73" w:rsidP="00386AAB">
            <w:pPr>
              <w:rPr>
                <w:rFonts w:eastAsia="Calibri"/>
              </w:rPr>
            </w:pPr>
          </w:p>
        </w:tc>
        <w:tc>
          <w:tcPr>
            <w:tcW w:w="1246" w:type="pct"/>
          </w:tcPr>
          <w:p w14:paraId="6520527C" w14:textId="77777777" w:rsidR="00A50A73" w:rsidRPr="00985B34" w:rsidRDefault="00A50A73" w:rsidP="00386AAB">
            <w:pPr>
              <w:rPr>
                <w:rFonts w:eastAsia="Calibri"/>
                <w:b/>
                <w:bCs/>
                <w:color w:val="FFFFFF"/>
              </w:rPr>
            </w:pPr>
          </w:p>
        </w:tc>
        <w:tc>
          <w:tcPr>
            <w:tcW w:w="792" w:type="pct"/>
          </w:tcPr>
          <w:p w14:paraId="24095D14" w14:textId="77777777" w:rsidR="00A50A73" w:rsidRPr="00985B34" w:rsidRDefault="00A50A73" w:rsidP="00386AAB">
            <w:pPr>
              <w:rPr>
                <w:rFonts w:eastAsia="Calibri"/>
              </w:rPr>
            </w:pPr>
            <w:r w:rsidRPr="00985B34">
              <w:rPr>
                <w:rFonts w:eastAsia="Calibri"/>
                <w:b/>
                <w:bCs/>
                <w:color w:val="FFFFFF"/>
              </w:rPr>
              <w:t>State Agency Lead</w:t>
            </w:r>
          </w:p>
        </w:tc>
        <w:tc>
          <w:tcPr>
            <w:tcW w:w="645" w:type="pct"/>
          </w:tcPr>
          <w:p w14:paraId="16448FAD" w14:textId="77777777" w:rsidR="00A50A73" w:rsidRPr="00985B34" w:rsidRDefault="00A50A73" w:rsidP="00386AAB">
            <w:pPr>
              <w:rPr>
                <w:rFonts w:eastAsia="Calibri"/>
              </w:rPr>
            </w:pPr>
          </w:p>
        </w:tc>
        <w:tc>
          <w:tcPr>
            <w:tcW w:w="691" w:type="pct"/>
          </w:tcPr>
          <w:p w14:paraId="5F48974B" w14:textId="77777777" w:rsidR="00A50A73" w:rsidRPr="00985B34" w:rsidRDefault="00A50A73" w:rsidP="00386AAB">
            <w:pPr>
              <w:rPr>
                <w:rFonts w:eastAsia="Calibri"/>
              </w:rPr>
            </w:pPr>
          </w:p>
        </w:tc>
      </w:tr>
      <w:tr w:rsidR="00A50A73" w:rsidRPr="00985B34" w14:paraId="77E08CB8" w14:textId="77777777" w:rsidTr="6493D36F">
        <w:trPr>
          <w:jc w:val="center"/>
        </w:trPr>
        <w:tc>
          <w:tcPr>
            <w:tcW w:w="625" w:type="pct"/>
          </w:tcPr>
          <w:p w14:paraId="19156C40" w14:textId="77777777" w:rsidR="00A50A73" w:rsidRPr="00985B34" w:rsidRDefault="00A50A73" w:rsidP="00386AAB">
            <w:pPr>
              <w:rPr>
                <w:rFonts w:eastAsia="Calibri"/>
              </w:rPr>
            </w:pPr>
            <w:r w:rsidRPr="00985B34">
              <w:rPr>
                <w:rFonts w:eastAsia="Calibri"/>
              </w:rPr>
              <w:t>Managed Care Plans</w:t>
            </w:r>
          </w:p>
        </w:tc>
        <w:tc>
          <w:tcPr>
            <w:tcW w:w="1002" w:type="pct"/>
          </w:tcPr>
          <w:p w14:paraId="65E68F1E" w14:textId="77777777" w:rsidR="00A50A73" w:rsidRPr="00985B34" w:rsidRDefault="00A50A73" w:rsidP="00386AAB">
            <w:pPr>
              <w:rPr>
                <w:rFonts w:eastAsia="Calibri"/>
                <w:u w:val="single"/>
              </w:rPr>
            </w:pPr>
          </w:p>
        </w:tc>
        <w:tc>
          <w:tcPr>
            <w:tcW w:w="1246" w:type="pct"/>
          </w:tcPr>
          <w:p w14:paraId="590D50C2" w14:textId="77777777" w:rsidR="00A50A73" w:rsidRPr="00985B34" w:rsidRDefault="00A50A73" w:rsidP="00386AAB">
            <w:pPr>
              <w:rPr>
                <w:rFonts w:eastAsia="Calibri"/>
                <w:b/>
                <w:bCs/>
                <w:color w:val="FFFFFF"/>
                <w:u w:val="single"/>
              </w:rPr>
            </w:pPr>
          </w:p>
        </w:tc>
        <w:tc>
          <w:tcPr>
            <w:tcW w:w="792" w:type="pct"/>
          </w:tcPr>
          <w:p w14:paraId="6EDFFAAA" w14:textId="77777777" w:rsidR="00A50A73" w:rsidRPr="00985B34" w:rsidRDefault="00A50A73" w:rsidP="00386AAB">
            <w:pPr>
              <w:rPr>
                <w:rFonts w:eastAsia="Calibri"/>
                <w:b/>
                <w:bCs/>
                <w:color w:val="FFFFFF"/>
                <w:u w:val="single"/>
              </w:rPr>
            </w:pPr>
          </w:p>
        </w:tc>
        <w:tc>
          <w:tcPr>
            <w:tcW w:w="645" w:type="pct"/>
          </w:tcPr>
          <w:p w14:paraId="21A043F2" w14:textId="77777777" w:rsidR="00A50A73" w:rsidRPr="00985B34" w:rsidRDefault="00A50A73" w:rsidP="00386AAB">
            <w:pPr>
              <w:rPr>
                <w:rFonts w:eastAsia="Calibri"/>
                <w:u w:val="single"/>
              </w:rPr>
            </w:pPr>
          </w:p>
        </w:tc>
        <w:tc>
          <w:tcPr>
            <w:tcW w:w="691" w:type="pct"/>
          </w:tcPr>
          <w:p w14:paraId="1C5B5BE1" w14:textId="77777777" w:rsidR="00A50A73" w:rsidRPr="00985B34" w:rsidRDefault="00A50A73" w:rsidP="00386AAB">
            <w:pPr>
              <w:rPr>
                <w:rFonts w:eastAsia="Calibri"/>
                <w:u w:val="single"/>
              </w:rPr>
            </w:pPr>
          </w:p>
        </w:tc>
      </w:tr>
      <w:tr w:rsidR="00A50A73" w:rsidRPr="00985B34" w14:paraId="1AB81F34" w14:textId="77777777" w:rsidTr="6493D36F">
        <w:trPr>
          <w:jc w:val="center"/>
        </w:trPr>
        <w:tc>
          <w:tcPr>
            <w:tcW w:w="625" w:type="pct"/>
          </w:tcPr>
          <w:p w14:paraId="7C8361B5" w14:textId="77777777" w:rsidR="00A50A73" w:rsidRPr="00985B34" w:rsidRDefault="00A50A73" w:rsidP="00386AAB">
            <w:pPr>
              <w:rPr>
                <w:rFonts w:eastAsia="Calibri"/>
              </w:rPr>
            </w:pPr>
            <w:r w:rsidRPr="00985B34">
              <w:rPr>
                <w:rFonts w:eastAsia="Calibri"/>
              </w:rPr>
              <w:t>Enrollment Broker</w:t>
            </w:r>
            <w:r w:rsidR="003F501D">
              <w:rPr>
                <w:rFonts w:eastAsia="Calibri"/>
              </w:rPr>
              <w:t>s</w:t>
            </w:r>
          </w:p>
        </w:tc>
        <w:tc>
          <w:tcPr>
            <w:tcW w:w="1002" w:type="pct"/>
          </w:tcPr>
          <w:p w14:paraId="57484820" w14:textId="77777777" w:rsidR="00A50A73" w:rsidRPr="00985B34" w:rsidRDefault="00A50A73" w:rsidP="00386AAB">
            <w:pPr>
              <w:rPr>
                <w:rFonts w:eastAsia="Calibri"/>
                <w:u w:val="single"/>
              </w:rPr>
            </w:pPr>
          </w:p>
        </w:tc>
        <w:tc>
          <w:tcPr>
            <w:tcW w:w="1246" w:type="pct"/>
          </w:tcPr>
          <w:p w14:paraId="0B03D8B5" w14:textId="77777777" w:rsidR="00A50A73" w:rsidRPr="00985B34" w:rsidRDefault="00A50A73" w:rsidP="00386AAB">
            <w:pPr>
              <w:rPr>
                <w:rFonts w:eastAsia="Calibri"/>
                <w:b/>
                <w:bCs/>
                <w:color w:val="FFFFFF"/>
                <w:u w:val="single"/>
              </w:rPr>
            </w:pPr>
          </w:p>
        </w:tc>
        <w:tc>
          <w:tcPr>
            <w:tcW w:w="792" w:type="pct"/>
          </w:tcPr>
          <w:p w14:paraId="2D9D4C81" w14:textId="77777777" w:rsidR="00A50A73" w:rsidRPr="00985B34" w:rsidRDefault="00A50A73" w:rsidP="00386AAB">
            <w:pPr>
              <w:rPr>
                <w:rFonts w:eastAsia="Calibri"/>
                <w:b/>
                <w:bCs/>
                <w:color w:val="FFFFFF"/>
                <w:u w:val="single"/>
              </w:rPr>
            </w:pPr>
          </w:p>
        </w:tc>
        <w:tc>
          <w:tcPr>
            <w:tcW w:w="645" w:type="pct"/>
          </w:tcPr>
          <w:p w14:paraId="068CC5E9" w14:textId="77777777" w:rsidR="00A50A73" w:rsidRPr="00985B34" w:rsidRDefault="00A50A73" w:rsidP="00386AAB">
            <w:pPr>
              <w:rPr>
                <w:rFonts w:eastAsia="Calibri"/>
                <w:u w:val="single"/>
              </w:rPr>
            </w:pPr>
          </w:p>
        </w:tc>
        <w:tc>
          <w:tcPr>
            <w:tcW w:w="691" w:type="pct"/>
          </w:tcPr>
          <w:p w14:paraId="61913556" w14:textId="77777777" w:rsidR="00A50A73" w:rsidRPr="00985B34" w:rsidRDefault="00A50A73" w:rsidP="00386AAB">
            <w:pPr>
              <w:rPr>
                <w:rFonts w:eastAsia="Calibri"/>
                <w:u w:val="single"/>
              </w:rPr>
            </w:pPr>
          </w:p>
        </w:tc>
      </w:tr>
      <w:tr w:rsidR="00A50A73" w:rsidRPr="00985B34" w14:paraId="53011024" w14:textId="77777777" w:rsidTr="6493D36F">
        <w:trPr>
          <w:jc w:val="center"/>
        </w:trPr>
        <w:tc>
          <w:tcPr>
            <w:tcW w:w="625" w:type="pct"/>
          </w:tcPr>
          <w:p w14:paraId="2491C424" w14:textId="77777777" w:rsidR="00A50A73" w:rsidRPr="00985B34" w:rsidRDefault="00A50A73" w:rsidP="00386AAB">
            <w:pPr>
              <w:rPr>
                <w:rFonts w:eastAsia="Calibri"/>
              </w:rPr>
            </w:pPr>
            <w:r w:rsidRPr="00985B34">
              <w:rPr>
                <w:rFonts w:eastAsia="Calibri"/>
              </w:rPr>
              <w:t>Call Center</w:t>
            </w:r>
          </w:p>
        </w:tc>
        <w:tc>
          <w:tcPr>
            <w:tcW w:w="1002" w:type="pct"/>
          </w:tcPr>
          <w:p w14:paraId="071E600A" w14:textId="77777777" w:rsidR="00A50A73" w:rsidRPr="00985B34" w:rsidRDefault="00A50A73" w:rsidP="00386AAB">
            <w:pPr>
              <w:rPr>
                <w:rFonts w:eastAsia="Calibri"/>
                <w:u w:val="single"/>
              </w:rPr>
            </w:pPr>
          </w:p>
        </w:tc>
        <w:tc>
          <w:tcPr>
            <w:tcW w:w="1246" w:type="pct"/>
          </w:tcPr>
          <w:p w14:paraId="335713A2" w14:textId="77777777" w:rsidR="00A50A73" w:rsidRPr="00985B34" w:rsidRDefault="00A50A73" w:rsidP="00386AAB">
            <w:pPr>
              <w:rPr>
                <w:rFonts w:eastAsia="Calibri"/>
                <w:b/>
                <w:bCs/>
                <w:color w:val="FFFFFF"/>
                <w:u w:val="single"/>
              </w:rPr>
            </w:pPr>
          </w:p>
        </w:tc>
        <w:tc>
          <w:tcPr>
            <w:tcW w:w="792" w:type="pct"/>
          </w:tcPr>
          <w:p w14:paraId="2E9909F1" w14:textId="77777777" w:rsidR="00A50A73" w:rsidRPr="00985B34" w:rsidRDefault="00A50A73" w:rsidP="00386AAB">
            <w:pPr>
              <w:rPr>
                <w:rFonts w:eastAsia="Calibri"/>
                <w:b/>
                <w:bCs/>
                <w:color w:val="FFFFFF"/>
                <w:u w:val="single"/>
              </w:rPr>
            </w:pPr>
          </w:p>
        </w:tc>
        <w:tc>
          <w:tcPr>
            <w:tcW w:w="645" w:type="pct"/>
          </w:tcPr>
          <w:p w14:paraId="401F1F18" w14:textId="77777777" w:rsidR="00A50A73" w:rsidRPr="00985B34" w:rsidRDefault="00A50A73" w:rsidP="00386AAB">
            <w:pPr>
              <w:rPr>
                <w:rFonts w:eastAsia="Calibri"/>
                <w:u w:val="single"/>
              </w:rPr>
            </w:pPr>
          </w:p>
        </w:tc>
        <w:tc>
          <w:tcPr>
            <w:tcW w:w="691" w:type="pct"/>
          </w:tcPr>
          <w:p w14:paraId="04F8AC92" w14:textId="77777777" w:rsidR="00A50A73" w:rsidRPr="00985B34" w:rsidRDefault="00A50A73" w:rsidP="00386AAB">
            <w:pPr>
              <w:rPr>
                <w:rFonts w:eastAsia="Calibri"/>
                <w:u w:val="single"/>
              </w:rPr>
            </w:pPr>
          </w:p>
        </w:tc>
      </w:tr>
      <w:tr w:rsidR="00A50A73" w:rsidRPr="00985B34" w14:paraId="6BD0E39E" w14:textId="77777777" w:rsidTr="6493D36F">
        <w:trPr>
          <w:jc w:val="center"/>
        </w:trPr>
        <w:tc>
          <w:tcPr>
            <w:tcW w:w="625" w:type="pct"/>
          </w:tcPr>
          <w:p w14:paraId="6AD50A45" w14:textId="77777777" w:rsidR="00A50A73" w:rsidRPr="00985B34" w:rsidRDefault="00A50A73" w:rsidP="00386AAB">
            <w:pPr>
              <w:rPr>
                <w:rFonts w:eastAsia="Calibri"/>
              </w:rPr>
            </w:pPr>
            <w:r w:rsidRPr="00985B34">
              <w:rPr>
                <w:rFonts w:eastAsia="Calibri"/>
              </w:rPr>
              <w:t>Navigators/Assistors</w:t>
            </w:r>
          </w:p>
        </w:tc>
        <w:tc>
          <w:tcPr>
            <w:tcW w:w="1002" w:type="pct"/>
          </w:tcPr>
          <w:p w14:paraId="09F7E711" w14:textId="77777777" w:rsidR="00A50A73" w:rsidRPr="00985B34" w:rsidRDefault="00A50A73" w:rsidP="00386AAB">
            <w:pPr>
              <w:rPr>
                <w:rFonts w:eastAsia="Calibri"/>
                <w:u w:val="single"/>
              </w:rPr>
            </w:pPr>
          </w:p>
        </w:tc>
        <w:tc>
          <w:tcPr>
            <w:tcW w:w="1246" w:type="pct"/>
          </w:tcPr>
          <w:p w14:paraId="06681D2B" w14:textId="77777777" w:rsidR="00A50A73" w:rsidRPr="00985B34" w:rsidRDefault="00A50A73" w:rsidP="00386AAB">
            <w:pPr>
              <w:rPr>
                <w:rFonts w:eastAsia="Calibri"/>
                <w:b/>
                <w:bCs/>
                <w:color w:val="FFFFFF"/>
                <w:u w:val="single"/>
              </w:rPr>
            </w:pPr>
          </w:p>
        </w:tc>
        <w:tc>
          <w:tcPr>
            <w:tcW w:w="792" w:type="pct"/>
          </w:tcPr>
          <w:p w14:paraId="6333B19E" w14:textId="77777777" w:rsidR="00A50A73" w:rsidRPr="00985B34" w:rsidRDefault="00A50A73" w:rsidP="00386AAB">
            <w:pPr>
              <w:rPr>
                <w:rFonts w:eastAsia="Calibri"/>
                <w:b/>
                <w:bCs/>
                <w:color w:val="FFFFFF"/>
                <w:u w:val="single"/>
              </w:rPr>
            </w:pPr>
          </w:p>
        </w:tc>
        <w:tc>
          <w:tcPr>
            <w:tcW w:w="645" w:type="pct"/>
          </w:tcPr>
          <w:p w14:paraId="5131E0AD" w14:textId="77777777" w:rsidR="00A50A73" w:rsidRPr="00985B34" w:rsidRDefault="00A50A73" w:rsidP="00386AAB">
            <w:pPr>
              <w:rPr>
                <w:rFonts w:eastAsia="Calibri"/>
                <w:u w:val="single"/>
              </w:rPr>
            </w:pPr>
          </w:p>
        </w:tc>
        <w:tc>
          <w:tcPr>
            <w:tcW w:w="691" w:type="pct"/>
          </w:tcPr>
          <w:p w14:paraId="0185245E" w14:textId="77777777" w:rsidR="00A50A73" w:rsidRPr="00985B34" w:rsidRDefault="00A50A73" w:rsidP="00386AAB">
            <w:pPr>
              <w:rPr>
                <w:rFonts w:eastAsia="Calibri"/>
                <w:u w:val="single"/>
              </w:rPr>
            </w:pPr>
          </w:p>
        </w:tc>
      </w:tr>
      <w:tr w:rsidR="00A50A73" w:rsidRPr="00985B34" w14:paraId="18E1050C" w14:textId="77777777" w:rsidTr="6493D36F">
        <w:trPr>
          <w:jc w:val="center"/>
        </w:trPr>
        <w:tc>
          <w:tcPr>
            <w:tcW w:w="625" w:type="pct"/>
          </w:tcPr>
          <w:p w14:paraId="47B90A74" w14:textId="77777777" w:rsidR="00A50A73" w:rsidRPr="00985B34" w:rsidRDefault="00A50A73" w:rsidP="00386AAB">
            <w:pPr>
              <w:rPr>
                <w:rFonts w:eastAsia="Calibri"/>
              </w:rPr>
            </w:pPr>
            <w:r w:rsidRPr="00985B34">
              <w:rPr>
                <w:rFonts w:eastAsia="Calibri"/>
              </w:rPr>
              <w:t>Community-based Organizations</w:t>
            </w:r>
          </w:p>
        </w:tc>
        <w:tc>
          <w:tcPr>
            <w:tcW w:w="1002" w:type="pct"/>
          </w:tcPr>
          <w:p w14:paraId="20D2D24B" w14:textId="77777777" w:rsidR="00A50A73" w:rsidRPr="00985B34" w:rsidRDefault="00A50A73" w:rsidP="00386AAB">
            <w:pPr>
              <w:rPr>
                <w:rFonts w:eastAsia="Calibri"/>
                <w:u w:val="single"/>
              </w:rPr>
            </w:pPr>
          </w:p>
        </w:tc>
        <w:tc>
          <w:tcPr>
            <w:tcW w:w="1246" w:type="pct"/>
          </w:tcPr>
          <w:p w14:paraId="52DA4C08" w14:textId="77777777" w:rsidR="00A50A73" w:rsidRPr="00985B34" w:rsidRDefault="00A50A73" w:rsidP="00386AAB">
            <w:pPr>
              <w:rPr>
                <w:rFonts w:eastAsia="Calibri"/>
                <w:b/>
                <w:bCs/>
                <w:color w:val="FFFFFF"/>
                <w:u w:val="single"/>
              </w:rPr>
            </w:pPr>
          </w:p>
        </w:tc>
        <w:tc>
          <w:tcPr>
            <w:tcW w:w="792" w:type="pct"/>
          </w:tcPr>
          <w:p w14:paraId="1BA39F02" w14:textId="77777777" w:rsidR="00A50A73" w:rsidRPr="00985B34" w:rsidRDefault="00A50A73" w:rsidP="00386AAB">
            <w:pPr>
              <w:rPr>
                <w:rFonts w:eastAsia="Calibri"/>
                <w:b/>
                <w:bCs/>
                <w:color w:val="FFFFFF"/>
                <w:u w:val="single"/>
              </w:rPr>
            </w:pPr>
          </w:p>
        </w:tc>
        <w:tc>
          <w:tcPr>
            <w:tcW w:w="645" w:type="pct"/>
          </w:tcPr>
          <w:p w14:paraId="6F17C9DE" w14:textId="77777777" w:rsidR="00A50A73" w:rsidRPr="00985B34" w:rsidRDefault="00A50A73" w:rsidP="00386AAB">
            <w:pPr>
              <w:rPr>
                <w:rFonts w:eastAsia="Calibri"/>
                <w:u w:val="single"/>
              </w:rPr>
            </w:pPr>
          </w:p>
        </w:tc>
        <w:tc>
          <w:tcPr>
            <w:tcW w:w="691" w:type="pct"/>
          </w:tcPr>
          <w:p w14:paraId="7EA8480D" w14:textId="77777777" w:rsidR="00A50A73" w:rsidRPr="00985B34" w:rsidRDefault="00A50A73" w:rsidP="00386AAB">
            <w:pPr>
              <w:rPr>
                <w:rFonts w:eastAsia="Calibri"/>
                <w:u w:val="single"/>
              </w:rPr>
            </w:pPr>
          </w:p>
        </w:tc>
      </w:tr>
      <w:tr w:rsidR="003A7100" w:rsidRPr="00985B34" w14:paraId="27B66FAA" w14:textId="77777777" w:rsidTr="6493D36F">
        <w:trPr>
          <w:jc w:val="center"/>
        </w:trPr>
        <w:tc>
          <w:tcPr>
            <w:tcW w:w="625" w:type="pct"/>
          </w:tcPr>
          <w:p w14:paraId="0B8B6D9C" w14:textId="77777777" w:rsidR="003A7100" w:rsidRPr="00985B34" w:rsidRDefault="003A7100" w:rsidP="00386AAB">
            <w:pPr>
              <w:rPr>
                <w:rFonts w:eastAsia="Calibri"/>
              </w:rPr>
            </w:pPr>
            <w:r>
              <w:rPr>
                <w:rFonts w:eastAsia="Calibri"/>
              </w:rPr>
              <w:t>Media outlets</w:t>
            </w:r>
          </w:p>
        </w:tc>
        <w:tc>
          <w:tcPr>
            <w:tcW w:w="1002" w:type="pct"/>
          </w:tcPr>
          <w:p w14:paraId="7EF8C1C0" w14:textId="77777777" w:rsidR="003A7100" w:rsidRPr="00985B34" w:rsidRDefault="003A7100" w:rsidP="00386AAB">
            <w:pPr>
              <w:rPr>
                <w:rFonts w:eastAsia="Calibri"/>
                <w:u w:val="single"/>
              </w:rPr>
            </w:pPr>
          </w:p>
        </w:tc>
        <w:tc>
          <w:tcPr>
            <w:tcW w:w="1246" w:type="pct"/>
          </w:tcPr>
          <w:p w14:paraId="282DD8EA" w14:textId="77777777" w:rsidR="003A7100" w:rsidRPr="00985B34" w:rsidRDefault="003A7100" w:rsidP="00386AAB">
            <w:pPr>
              <w:rPr>
                <w:rFonts w:eastAsia="Calibri"/>
                <w:b/>
                <w:bCs/>
                <w:color w:val="FFFFFF"/>
                <w:u w:val="single"/>
              </w:rPr>
            </w:pPr>
          </w:p>
        </w:tc>
        <w:tc>
          <w:tcPr>
            <w:tcW w:w="792" w:type="pct"/>
          </w:tcPr>
          <w:p w14:paraId="01E74DB9" w14:textId="77777777" w:rsidR="003A7100" w:rsidRPr="00985B34" w:rsidRDefault="003A7100" w:rsidP="00386AAB">
            <w:pPr>
              <w:rPr>
                <w:rFonts w:eastAsia="Calibri"/>
                <w:b/>
                <w:bCs/>
                <w:color w:val="FFFFFF"/>
                <w:u w:val="single"/>
              </w:rPr>
            </w:pPr>
          </w:p>
        </w:tc>
        <w:tc>
          <w:tcPr>
            <w:tcW w:w="645" w:type="pct"/>
          </w:tcPr>
          <w:p w14:paraId="219D54FA" w14:textId="77777777" w:rsidR="003A7100" w:rsidRPr="00985B34" w:rsidRDefault="003A7100" w:rsidP="00386AAB">
            <w:pPr>
              <w:rPr>
                <w:rFonts w:eastAsia="Calibri"/>
                <w:u w:val="single"/>
              </w:rPr>
            </w:pPr>
          </w:p>
        </w:tc>
        <w:tc>
          <w:tcPr>
            <w:tcW w:w="691" w:type="pct"/>
          </w:tcPr>
          <w:p w14:paraId="2BD1B917" w14:textId="77777777" w:rsidR="003A7100" w:rsidRPr="00985B34" w:rsidRDefault="003A7100" w:rsidP="00386AAB">
            <w:pPr>
              <w:rPr>
                <w:rFonts w:eastAsia="Calibri"/>
                <w:u w:val="single"/>
              </w:rPr>
            </w:pPr>
          </w:p>
        </w:tc>
      </w:tr>
      <w:tr w:rsidR="00446AB4" w:rsidRPr="00985B34" w14:paraId="6FE59CF2" w14:textId="77777777" w:rsidTr="6493D36F">
        <w:trPr>
          <w:jc w:val="center"/>
        </w:trPr>
        <w:tc>
          <w:tcPr>
            <w:tcW w:w="625" w:type="pct"/>
          </w:tcPr>
          <w:p w14:paraId="1CE68B1A" w14:textId="77777777" w:rsidR="00446AB4" w:rsidRDefault="00446AB4" w:rsidP="00386AAB">
            <w:pPr>
              <w:rPr>
                <w:rFonts w:eastAsia="Calibri"/>
              </w:rPr>
            </w:pPr>
            <w:r>
              <w:rPr>
                <w:rFonts w:eastAsia="Calibri"/>
              </w:rPr>
              <w:t>Sister Government Agencies</w:t>
            </w:r>
          </w:p>
        </w:tc>
        <w:tc>
          <w:tcPr>
            <w:tcW w:w="1002" w:type="pct"/>
          </w:tcPr>
          <w:p w14:paraId="53731CB7" w14:textId="77777777" w:rsidR="00446AB4" w:rsidRPr="00985B34" w:rsidRDefault="00446AB4" w:rsidP="00386AAB">
            <w:pPr>
              <w:rPr>
                <w:rFonts w:eastAsia="Calibri"/>
                <w:u w:val="single"/>
              </w:rPr>
            </w:pPr>
          </w:p>
        </w:tc>
        <w:tc>
          <w:tcPr>
            <w:tcW w:w="1246" w:type="pct"/>
          </w:tcPr>
          <w:p w14:paraId="02218222" w14:textId="77777777" w:rsidR="00446AB4" w:rsidRPr="00985B34" w:rsidRDefault="00446AB4" w:rsidP="00386AAB">
            <w:pPr>
              <w:rPr>
                <w:rFonts w:eastAsia="Calibri"/>
                <w:b/>
                <w:bCs/>
                <w:color w:val="FFFFFF"/>
                <w:u w:val="single"/>
              </w:rPr>
            </w:pPr>
          </w:p>
        </w:tc>
        <w:tc>
          <w:tcPr>
            <w:tcW w:w="792" w:type="pct"/>
          </w:tcPr>
          <w:p w14:paraId="5A8A0A2C" w14:textId="77777777" w:rsidR="00446AB4" w:rsidRPr="00985B34" w:rsidRDefault="00446AB4" w:rsidP="00386AAB">
            <w:pPr>
              <w:rPr>
                <w:rFonts w:eastAsia="Calibri"/>
                <w:b/>
                <w:bCs/>
                <w:color w:val="FFFFFF"/>
                <w:u w:val="single"/>
              </w:rPr>
            </w:pPr>
          </w:p>
        </w:tc>
        <w:tc>
          <w:tcPr>
            <w:tcW w:w="645" w:type="pct"/>
          </w:tcPr>
          <w:p w14:paraId="7CB5202F" w14:textId="77777777" w:rsidR="00446AB4" w:rsidRPr="00985B34" w:rsidRDefault="00446AB4" w:rsidP="00386AAB">
            <w:pPr>
              <w:rPr>
                <w:rFonts w:eastAsia="Calibri"/>
                <w:u w:val="single"/>
              </w:rPr>
            </w:pPr>
          </w:p>
        </w:tc>
        <w:tc>
          <w:tcPr>
            <w:tcW w:w="691" w:type="pct"/>
          </w:tcPr>
          <w:p w14:paraId="4BA0B8FD" w14:textId="77777777" w:rsidR="00446AB4" w:rsidRPr="00985B34" w:rsidRDefault="00446AB4" w:rsidP="00386AAB">
            <w:pPr>
              <w:rPr>
                <w:rFonts w:eastAsia="Calibri"/>
                <w:u w:val="single"/>
              </w:rPr>
            </w:pPr>
          </w:p>
        </w:tc>
      </w:tr>
      <w:tr w:rsidR="00A50A73" w:rsidRPr="00985B34" w14:paraId="32E6D280" w14:textId="77777777" w:rsidTr="6493D36F">
        <w:trPr>
          <w:jc w:val="center"/>
        </w:trPr>
        <w:tc>
          <w:tcPr>
            <w:tcW w:w="625" w:type="pct"/>
          </w:tcPr>
          <w:p w14:paraId="56C2E45A" w14:textId="77777777" w:rsidR="00A50A73" w:rsidRPr="00985B34" w:rsidRDefault="00A50A73" w:rsidP="00386AAB">
            <w:pPr>
              <w:rPr>
                <w:rFonts w:eastAsia="Calibri"/>
              </w:rPr>
            </w:pPr>
            <w:r w:rsidRPr="00985B34">
              <w:rPr>
                <w:rFonts w:eastAsia="Calibri"/>
              </w:rPr>
              <w:t xml:space="preserve">Other: </w:t>
            </w:r>
          </w:p>
        </w:tc>
        <w:tc>
          <w:tcPr>
            <w:tcW w:w="1002" w:type="pct"/>
          </w:tcPr>
          <w:p w14:paraId="0DBF3507" w14:textId="77777777" w:rsidR="00A50A73" w:rsidRPr="00985B34" w:rsidRDefault="00A50A73" w:rsidP="00386AAB">
            <w:pPr>
              <w:rPr>
                <w:rFonts w:eastAsia="Calibri"/>
                <w:u w:val="single"/>
              </w:rPr>
            </w:pPr>
          </w:p>
        </w:tc>
        <w:tc>
          <w:tcPr>
            <w:tcW w:w="1246" w:type="pct"/>
          </w:tcPr>
          <w:p w14:paraId="7B620955" w14:textId="77777777" w:rsidR="00A50A73" w:rsidRPr="00985B34" w:rsidRDefault="00A50A73" w:rsidP="00386AAB">
            <w:pPr>
              <w:rPr>
                <w:rFonts w:eastAsia="Calibri"/>
                <w:b/>
                <w:bCs/>
                <w:color w:val="FFFFFF"/>
                <w:sz w:val="20"/>
                <w:szCs w:val="20"/>
                <w:u w:val="single"/>
              </w:rPr>
            </w:pPr>
          </w:p>
        </w:tc>
        <w:tc>
          <w:tcPr>
            <w:tcW w:w="792" w:type="pct"/>
          </w:tcPr>
          <w:p w14:paraId="7B0D0021" w14:textId="77777777" w:rsidR="00A50A73" w:rsidRPr="00985B34" w:rsidRDefault="00A50A73" w:rsidP="00386AAB">
            <w:pPr>
              <w:rPr>
                <w:rFonts w:eastAsia="Calibri"/>
                <w:b/>
                <w:bCs/>
                <w:color w:val="FFFFFF"/>
                <w:sz w:val="20"/>
                <w:szCs w:val="20"/>
                <w:u w:val="single"/>
              </w:rPr>
            </w:pPr>
          </w:p>
        </w:tc>
        <w:tc>
          <w:tcPr>
            <w:tcW w:w="645" w:type="pct"/>
          </w:tcPr>
          <w:p w14:paraId="3CCAF4BD" w14:textId="77777777" w:rsidR="00A50A73" w:rsidRPr="00985B34" w:rsidRDefault="00A50A73" w:rsidP="00386AAB">
            <w:pPr>
              <w:rPr>
                <w:rFonts w:eastAsia="Calibri"/>
                <w:u w:val="single"/>
              </w:rPr>
            </w:pPr>
          </w:p>
        </w:tc>
        <w:tc>
          <w:tcPr>
            <w:tcW w:w="691" w:type="pct"/>
          </w:tcPr>
          <w:p w14:paraId="511BCF26" w14:textId="77777777" w:rsidR="00A50A73" w:rsidRPr="00985B34" w:rsidRDefault="00A50A73" w:rsidP="00386AAB">
            <w:pPr>
              <w:rPr>
                <w:rFonts w:eastAsia="Calibri"/>
                <w:u w:val="single"/>
              </w:rPr>
            </w:pPr>
          </w:p>
        </w:tc>
      </w:tr>
    </w:tbl>
    <w:p w14:paraId="5C264F57" w14:textId="7CA0C9C8" w:rsidR="00A50A73" w:rsidRDefault="00A50A73" w:rsidP="00A50A73">
      <w:pPr>
        <w:pStyle w:val="ListParagraph"/>
        <w:tabs>
          <w:tab w:val="left" w:pos="720"/>
        </w:tabs>
        <w:ind w:left="1440"/>
      </w:pPr>
    </w:p>
    <w:p w14:paraId="01F0424B" w14:textId="77777777" w:rsidR="00001812" w:rsidRPr="00A50A73" w:rsidRDefault="00001812" w:rsidP="00C00C37">
      <w:pPr>
        <w:pStyle w:val="ListParagraph"/>
        <w:tabs>
          <w:tab w:val="left" w:pos="720"/>
        </w:tabs>
      </w:pPr>
    </w:p>
    <w:p w14:paraId="44BEAA73" w14:textId="1104EEA0" w:rsidR="00A50A73" w:rsidRPr="001003D4" w:rsidRDefault="00A50A73" w:rsidP="00DA2575">
      <w:pPr>
        <w:pStyle w:val="ListParagraph"/>
        <w:numPr>
          <w:ilvl w:val="0"/>
          <w:numId w:val="4"/>
        </w:numPr>
        <w:tabs>
          <w:tab w:val="left" w:pos="720"/>
        </w:tabs>
      </w:pPr>
      <w:r w:rsidRPr="002F3CAC">
        <w:rPr>
          <w:rFonts w:asciiTheme="majorHAnsi" w:hAnsiTheme="majorHAnsi" w:cstheme="minorHAnsi"/>
          <w:b/>
          <w:bCs/>
          <w:i/>
          <w:iCs/>
          <w:color w:val="365F91" w:themeColor="accent1" w:themeShade="BF"/>
          <w:sz w:val="28"/>
          <w:szCs w:val="28"/>
        </w:rPr>
        <w:t>Timeline</w:t>
      </w:r>
    </w:p>
    <w:p w14:paraId="619DE28E" w14:textId="77777777" w:rsidR="00A50A73" w:rsidRDefault="00A50A73" w:rsidP="00A50A73">
      <w:pPr>
        <w:ind w:left="360"/>
        <w:rPr>
          <w:rFonts w:asciiTheme="majorHAnsi" w:hAnsiTheme="majorHAnsi" w:cstheme="minorHAnsi"/>
          <w:b/>
          <w:bCs/>
          <w:i/>
          <w:iCs/>
          <w:color w:val="365F91" w:themeColor="accent1" w:themeShade="BF"/>
          <w:sz w:val="28"/>
          <w:szCs w:val="28"/>
        </w:rPr>
      </w:pPr>
    </w:p>
    <w:p w14:paraId="7AA35B71" w14:textId="77777777" w:rsidR="00615E8E" w:rsidRDefault="00A50A73" w:rsidP="003D62E5">
      <w:pPr>
        <w:ind w:left="1080"/>
      </w:pPr>
      <w:r>
        <w:t>States should be able to articulate a month-to-month work plan for meeting key milestones, including</w:t>
      </w:r>
      <w:r w:rsidR="00615E8E">
        <w:t>:</w:t>
      </w:r>
    </w:p>
    <w:p w14:paraId="4FEDC598" w14:textId="193CD879" w:rsidR="00C97DC9" w:rsidRDefault="00C97DC9" w:rsidP="003D62E5">
      <w:pPr>
        <w:pStyle w:val="ListBullet"/>
        <w:tabs>
          <w:tab w:val="clear" w:pos="360"/>
          <w:tab w:val="num" w:pos="1710"/>
        </w:tabs>
        <w:ind w:left="1800"/>
      </w:pPr>
      <w:r>
        <w:t>c</w:t>
      </w:r>
      <w:r w:rsidR="00232F5B" w:rsidRPr="00C30A62">
        <w:t>omplet</w:t>
      </w:r>
      <w:r w:rsidR="00232F5B">
        <w:t>ing</w:t>
      </w:r>
      <w:r w:rsidR="00232F5B" w:rsidRPr="00C30A62">
        <w:t xml:space="preserve"> eligibility determinations for all pending </w:t>
      </w:r>
      <w:r w:rsidR="00232F5B">
        <w:t>MAGI</w:t>
      </w:r>
      <w:r w:rsidR="00232F5B" w:rsidRPr="00C30A62">
        <w:t xml:space="preserve"> and other non-disability</w:t>
      </w:r>
      <w:r w:rsidR="00232F5B">
        <w:t>-</w:t>
      </w:r>
      <w:r w:rsidR="00232F5B" w:rsidRPr="00C30A62">
        <w:t>related applications</w:t>
      </w:r>
      <w:r w:rsidR="00DD1276" w:rsidRPr="00DD1276">
        <w:t xml:space="preserve"> </w:t>
      </w:r>
      <w:r w:rsidR="00DD1276" w:rsidRPr="00C30A62">
        <w:t xml:space="preserve">received during the </w:t>
      </w:r>
      <w:r w:rsidR="00DF6530">
        <w:t>PHE</w:t>
      </w:r>
      <w:r w:rsidR="00DA36D8">
        <w:t xml:space="preserve"> </w:t>
      </w:r>
      <w:r w:rsidR="00615E8E">
        <w:t>by 2 m</w:t>
      </w:r>
      <w:r w:rsidR="002329D2">
        <w:t xml:space="preserve">onths after the end of the </w:t>
      </w:r>
      <w:r w:rsidR="002973D0">
        <w:t xml:space="preserve">month in which the </w:t>
      </w:r>
      <w:r w:rsidR="002329D2">
        <w:t>PHE</w:t>
      </w:r>
      <w:r w:rsidR="002973D0">
        <w:t xml:space="preserve"> ends</w:t>
      </w:r>
      <w:r w:rsidR="003345FB">
        <w:t>;</w:t>
      </w:r>
    </w:p>
    <w:p w14:paraId="0AC2288B" w14:textId="7CD575C9" w:rsidR="00461E3A" w:rsidRDefault="008579EA" w:rsidP="003D62E5">
      <w:pPr>
        <w:pStyle w:val="ListBullet"/>
        <w:tabs>
          <w:tab w:val="clear" w:pos="360"/>
          <w:tab w:val="num" w:pos="1710"/>
        </w:tabs>
        <w:ind w:left="1800"/>
      </w:pPr>
      <w:r>
        <w:t>c</w:t>
      </w:r>
      <w:r w:rsidRPr="00C30A62">
        <w:t>omplet</w:t>
      </w:r>
      <w:r>
        <w:t>ing</w:t>
      </w:r>
      <w:r w:rsidRPr="00C30A62">
        <w:t xml:space="preserve"> eligibility determinations for all pending disability-related applications received during the PHE</w:t>
      </w:r>
      <w:r>
        <w:t xml:space="preserve"> by 3 months after the end of the </w:t>
      </w:r>
      <w:r w:rsidR="002973D0">
        <w:t xml:space="preserve">month in which the </w:t>
      </w:r>
      <w:r>
        <w:t>PHE</w:t>
      </w:r>
      <w:r w:rsidR="002973D0">
        <w:t xml:space="preserve"> ends</w:t>
      </w:r>
      <w:r w:rsidR="003345FB">
        <w:t>;</w:t>
      </w:r>
    </w:p>
    <w:p w14:paraId="6CFCAEFD" w14:textId="50801F51" w:rsidR="002469E9" w:rsidRDefault="00A50A73" w:rsidP="003D62E5">
      <w:pPr>
        <w:pStyle w:val="ListBullet"/>
        <w:tabs>
          <w:tab w:val="clear" w:pos="360"/>
          <w:tab w:val="num" w:pos="1710"/>
        </w:tabs>
        <w:ind w:left="1800"/>
      </w:pPr>
      <w:r>
        <w:t xml:space="preserve">resuming timely application processing </w:t>
      </w:r>
      <w:r w:rsidR="00BD7EF8">
        <w:t xml:space="preserve">of all applications </w:t>
      </w:r>
      <w:r>
        <w:t>by 4 months after the end of the</w:t>
      </w:r>
      <w:r w:rsidR="00BD7EF8">
        <w:t xml:space="preserve"> </w:t>
      </w:r>
      <w:r w:rsidR="002973D0">
        <w:t>month in which the</w:t>
      </w:r>
      <w:r w:rsidR="00BD7EF8">
        <w:t xml:space="preserve"> </w:t>
      </w:r>
      <w:r w:rsidR="00461E3A">
        <w:t>PHE</w:t>
      </w:r>
      <w:r w:rsidR="002973D0">
        <w:t xml:space="preserve"> ends</w:t>
      </w:r>
      <w:r w:rsidR="003345FB">
        <w:t>;</w:t>
      </w:r>
      <w:r w:rsidR="00E73D99">
        <w:t xml:space="preserve"> </w:t>
      </w:r>
    </w:p>
    <w:p w14:paraId="143CD640" w14:textId="2C5DB1EB" w:rsidR="00656757" w:rsidRDefault="009E68E9" w:rsidP="003D62E5">
      <w:pPr>
        <w:pStyle w:val="ListBullet"/>
        <w:tabs>
          <w:tab w:val="clear" w:pos="360"/>
          <w:tab w:val="num" w:pos="1710"/>
        </w:tabs>
        <w:ind w:left="1800"/>
      </w:pPr>
      <w:r>
        <w:t xml:space="preserve">initiating </w:t>
      </w:r>
      <w:r w:rsidR="00A50A73">
        <w:t xml:space="preserve">renewals and resuming timely renewal processing by 12 months after </w:t>
      </w:r>
      <w:r w:rsidR="002973D0">
        <w:t>the state begins its unwinding period</w:t>
      </w:r>
      <w:r w:rsidR="003345FB">
        <w:t>;</w:t>
      </w:r>
      <w:r w:rsidR="00656757">
        <w:t xml:space="preserve"> and</w:t>
      </w:r>
    </w:p>
    <w:p w14:paraId="22BFD0FB" w14:textId="298E25FF" w:rsidR="00AE1B54" w:rsidRDefault="00AE1B54" w:rsidP="003D62E5">
      <w:pPr>
        <w:pStyle w:val="ListBullet"/>
        <w:tabs>
          <w:tab w:val="clear" w:pos="360"/>
          <w:tab w:val="num" w:pos="1710"/>
        </w:tabs>
        <w:ind w:left="1800"/>
      </w:pPr>
      <w:r>
        <w:t xml:space="preserve">completing all pending actions by 14 months after the </w:t>
      </w:r>
      <w:r w:rsidR="002973D0">
        <w:t>state begins its unwinding period</w:t>
      </w:r>
      <w:r w:rsidR="007D7349">
        <w:t>.</w:t>
      </w:r>
      <w:r w:rsidR="00A50A73">
        <w:t xml:space="preserve"> </w:t>
      </w:r>
    </w:p>
    <w:p w14:paraId="763D76C5" w14:textId="77777777" w:rsidR="003345FB" w:rsidRDefault="003345FB" w:rsidP="001B5408">
      <w:pPr>
        <w:pStyle w:val="ListBullet"/>
        <w:numPr>
          <w:ilvl w:val="0"/>
          <w:numId w:val="0"/>
        </w:numPr>
        <w:ind w:left="1080"/>
      </w:pPr>
    </w:p>
    <w:p w14:paraId="01094731" w14:textId="04E592CD" w:rsidR="00A50A73" w:rsidRDefault="00A50A73" w:rsidP="003D62E5">
      <w:pPr>
        <w:pStyle w:val="ListBullet"/>
        <w:numPr>
          <w:ilvl w:val="0"/>
          <w:numId w:val="0"/>
        </w:numPr>
        <w:ind w:left="1080"/>
      </w:pPr>
      <w:r>
        <w:t>State</w:t>
      </w:r>
      <w:r w:rsidR="00AE1B54">
        <w:t>s</w:t>
      </w:r>
      <w:r>
        <w:t xml:space="preserve"> may find it helpful to break down key activities as well as the staging of different populations for completing </w:t>
      </w:r>
      <w:r w:rsidR="003F501D">
        <w:t>E&amp;E</w:t>
      </w:r>
      <w:r>
        <w:t xml:space="preserve"> actions. </w:t>
      </w:r>
    </w:p>
    <w:p w14:paraId="5BFCE1F7" w14:textId="77777777" w:rsidR="00A50A73" w:rsidRDefault="00A50A73" w:rsidP="00A50A73">
      <w:pPr>
        <w:ind w:left="360"/>
        <w:rPr>
          <w:rFonts w:asciiTheme="majorHAnsi" w:hAnsiTheme="majorHAnsi" w:cstheme="minorHAnsi"/>
          <w:b/>
          <w:bCs/>
          <w:i/>
          <w:iCs/>
          <w:color w:val="365F91" w:themeColor="accent1" w:themeShade="BF"/>
          <w:sz w:val="28"/>
          <w:szCs w:val="28"/>
        </w:rPr>
      </w:pPr>
    </w:p>
    <w:tbl>
      <w:tblPr>
        <w:tblStyle w:val="TableGrid"/>
        <w:tblW w:w="5062" w:type="pct"/>
        <w:tblInd w:w="-115" w:type="dxa"/>
        <w:tblLook w:val="04A0" w:firstRow="1" w:lastRow="0" w:firstColumn="1" w:lastColumn="0" w:noHBand="0" w:noVBand="1"/>
      </w:tblPr>
      <w:tblGrid>
        <w:gridCol w:w="5806"/>
        <w:gridCol w:w="2151"/>
        <w:gridCol w:w="1399"/>
        <w:gridCol w:w="14"/>
        <w:gridCol w:w="528"/>
        <w:gridCol w:w="10"/>
        <w:gridCol w:w="528"/>
        <w:gridCol w:w="10"/>
        <w:gridCol w:w="539"/>
        <w:gridCol w:w="10"/>
        <w:gridCol w:w="539"/>
        <w:gridCol w:w="10"/>
        <w:gridCol w:w="539"/>
        <w:gridCol w:w="10"/>
        <w:gridCol w:w="539"/>
        <w:gridCol w:w="10"/>
        <w:gridCol w:w="539"/>
        <w:gridCol w:w="10"/>
        <w:gridCol w:w="539"/>
        <w:gridCol w:w="10"/>
        <w:gridCol w:w="539"/>
        <w:gridCol w:w="10"/>
        <w:gridCol w:w="647"/>
        <w:gridCol w:w="14"/>
        <w:gridCol w:w="643"/>
        <w:gridCol w:w="552"/>
        <w:gridCol w:w="17"/>
        <w:gridCol w:w="647"/>
        <w:gridCol w:w="14"/>
        <w:gridCol w:w="661"/>
      </w:tblGrid>
      <w:tr w:rsidR="00B31B14" w:rsidRPr="00896A66" w14:paraId="5D20D80B" w14:textId="77777777" w:rsidTr="6493D36F">
        <w:trPr>
          <w:tblHeader/>
        </w:trPr>
        <w:tc>
          <w:tcPr>
            <w:tcW w:w="1660" w:type="pct"/>
            <w:shd w:val="clear" w:color="auto" w:fill="1F497D" w:themeFill="text2"/>
          </w:tcPr>
          <w:p w14:paraId="0F759F4B" w14:textId="77777777" w:rsidR="00576405" w:rsidRPr="0088618D" w:rsidRDefault="00576405" w:rsidP="00E04D78">
            <w:pPr>
              <w:jc w:val="center"/>
              <w:rPr>
                <w:b/>
                <w:bCs/>
                <w:color w:val="FFFFFF" w:themeColor="background1"/>
              </w:rPr>
            </w:pPr>
            <w:r w:rsidRPr="0088618D">
              <w:rPr>
                <w:b/>
                <w:bCs/>
                <w:color w:val="FFFFFF" w:themeColor="background1"/>
              </w:rPr>
              <w:t>Activities/Populations</w:t>
            </w:r>
          </w:p>
        </w:tc>
        <w:tc>
          <w:tcPr>
            <w:tcW w:w="615" w:type="pct"/>
            <w:shd w:val="clear" w:color="auto" w:fill="1F497D" w:themeFill="text2"/>
          </w:tcPr>
          <w:p w14:paraId="2E6CC807" w14:textId="363415B3" w:rsidR="00576405" w:rsidRPr="0088618D" w:rsidRDefault="00B31B14" w:rsidP="00E04D78">
            <w:pPr>
              <w:jc w:val="center"/>
              <w:rPr>
                <w:b/>
                <w:bCs/>
                <w:color w:val="FFFFFF" w:themeColor="background1"/>
              </w:rPr>
            </w:pPr>
            <w:r>
              <w:rPr>
                <w:b/>
                <w:bCs/>
                <w:color w:val="FFFFFF" w:themeColor="background1"/>
              </w:rPr>
              <w:t>Staging Before the State’s Unwinding Period Begins</w:t>
            </w:r>
            <w:r w:rsidR="00576405" w:rsidRPr="0088618D">
              <w:rPr>
                <w:b/>
                <w:bCs/>
                <w:color w:val="FFFFFF" w:themeColor="background1"/>
              </w:rPr>
              <w:t xml:space="preserve"> </w:t>
            </w:r>
          </w:p>
        </w:tc>
        <w:tc>
          <w:tcPr>
            <w:tcW w:w="404" w:type="pct"/>
            <w:gridSpan w:val="2"/>
            <w:shd w:val="clear" w:color="auto" w:fill="1F497D" w:themeFill="text2"/>
          </w:tcPr>
          <w:p w14:paraId="6D36EB61" w14:textId="08939A30" w:rsidR="00576405" w:rsidRPr="0088618D" w:rsidRDefault="00B31B14" w:rsidP="00E04D78">
            <w:pPr>
              <w:jc w:val="center"/>
              <w:rPr>
                <w:b/>
                <w:bCs/>
                <w:color w:val="FFFFFF" w:themeColor="background1"/>
              </w:rPr>
            </w:pPr>
            <w:r>
              <w:rPr>
                <w:b/>
                <w:bCs/>
                <w:color w:val="FFFFFF" w:themeColor="background1"/>
              </w:rPr>
              <w:t>Staging After the State’s Unwinding Period Begins</w:t>
            </w:r>
            <w:r w:rsidR="00576405" w:rsidRPr="0088618D">
              <w:rPr>
                <w:b/>
                <w:bCs/>
                <w:color w:val="FFFFFF" w:themeColor="background1"/>
              </w:rPr>
              <w:t xml:space="preserve"> </w:t>
            </w:r>
          </w:p>
        </w:tc>
        <w:tc>
          <w:tcPr>
            <w:tcW w:w="154" w:type="pct"/>
            <w:gridSpan w:val="2"/>
            <w:shd w:val="clear" w:color="auto" w:fill="1F497D" w:themeFill="text2"/>
          </w:tcPr>
          <w:p w14:paraId="6EF0E5AA" w14:textId="3B26EA2D" w:rsidR="00576405" w:rsidRPr="0088618D" w:rsidRDefault="00FB08A8" w:rsidP="00E04D78">
            <w:pPr>
              <w:jc w:val="center"/>
              <w:rPr>
                <w:b/>
                <w:bCs/>
                <w:color w:val="FFFFFF" w:themeColor="background1"/>
              </w:rPr>
            </w:pPr>
            <w:r w:rsidRPr="0088618D">
              <w:rPr>
                <w:b/>
                <w:bCs/>
                <w:color w:val="FFFFFF" w:themeColor="background1"/>
              </w:rPr>
              <w:t>+1 mo</w:t>
            </w:r>
          </w:p>
        </w:tc>
        <w:tc>
          <w:tcPr>
            <w:tcW w:w="154" w:type="pct"/>
            <w:gridSpan w:val="2"/>
            <w:shd w:val="clear" w:color="auto" w:fill="1F497D" w:themeFill="text2"/>
          </w:tcPr>
          <w:p w14:paraId="1E428ED5" w14:textId="0EF7FA0A" w:rsidR="00576405" w:rsidRPr="0088618D" w:rsidRDefault="00FB08A8" w:rsidP="00E04D78">
            <w:pPr>
              <w:jc w:val="center"/>
              <w:rPr>
                <w:b/>
                <w:bCs/>
                <w:color w:val="FFFFFF" w:themeColor="background1"/>
              </w:rPr>
            </w:pPr>
            <w:r w:rsidRPr="0088618D">
              <w:rPr>
                <w:b/>
                <w:bCs/>
                <w:color w:val="FFFFFF" w:themeColor="background1"/>
              </w:rPr>
              <w:t>+2 mo</w:t>
            </w:r>
          </w:p>
        </w:tc>
        <w:tc>
          <w:tcPr>
            <w:tcW w:w="157" w:type="pct"/>
            <w:gridSpan w:val="2"/>
            <w:shd w:val="clear" w:color="auto" w:fill="1F497D" w:themeFill="text2"/>
          </w:tcPr>
          <w:p w14:paraId="7A6E567F" w14:textId="6FF85BAA" w:rsidR="00576405" w:rsidRPr="0088618D" w:rsidRDefault="00576405" w:rsidP="00E04D78">
            <w:pPr>
              <w:jc w:val="center"/>
              <w:rPr>
                <w:b/>
                <w:bCs/>
                <w:color w:val="FFFFFF" w:themeColor="background1"/>
              </w:rPr>
            </w:pPr>
            <w:r w:rsidRPr="0088618D">
              <w:rPr>
                <w:b/>
                <w:bCs/>
                <w:color w:val="FFFFFF" w:themeColor="background1"/>
              </w:rPr>
              <w:t>+</w:t>
            </w:r>
            <w:r w:rsidR="00FB08A8">
              <w:rPr>
                <w:b/>
                <w:bCs/>
                <w:color w:val="FFFFFF" w:themeColor="background1"/>
              </w:rPr>
              <w:t>3</w:t>
            </w:r>
            <w:r w:rsidRPr="0088618D">
              <w:rPr>
                <w:b/>
                <w:bCs/>
                <w:color w:val="FFFFFF" w:themeColor="background1"/>
              </w:rPr>
              <w:t xml:space="preserve"> mo</w:t>
            </w:r>
          </w:p>
        </w:tc>
        <w:tc>
          <w:tcPr>
            <w:tcW w:w="157" w:type="pct"/>
            <w:gridSpan w:val="2"/>
            <w:shd w:val="clear" w:color="auto" w:fill="1F497D" w:themeFill="text2"/>
          </w:tcPr>
          <w:p w14:paraId="75F92D29" w14:textId="3DB27933" w:rsidR="00576405" w:rsidRPr="0088618D" w:rsidRDefault="00576405" w:rsidP="00E04D78">
            <w:pPr>
              <w:jc w:val="center"/>
              <w:rPr>
                <w:b/>
                <w:bCs/>
                <w:color w:val="FFFFFF" w:themeColor="background1"/>
              </w:rPr>
            </w:pPr>
            <w:r w:rsidRPr="0088618D">
              <w:rPr>
                <w:b/>
                <w:bCs/>
                <w:color w:val="FFFFFF" w:themeColor="background1"/>
              </w:rPr>
              <w:t>+</w:t>
            </w:r>
            <w:r w:rsidR="00FB08A8">
              <w:rPr>
                <w:b/>
                <w:bCs/>
                <w:color w:val="FFFFFF" w:themeColor="background1"/>
              </w:rPr>
              <w:t>4</w:t>
            </w:r>
            <w:r w:rsidRPr="0088618D">
              <w:rPr>
                <w:b/>
                <w:bCs/>
                <w:color w:val="FFFFFF" w:themeColor="background1"/>
              </w:rPr>
              <w:t xml:space="preserve"> mo</w:t>
            </w:r>
          </w:p>
        </w:tc>
        <w:tc>
          <w:tcPr>
            <w:tcW w:w="157" w:type="pct"/>
            <w:gridSpan w:val="2"/>
            <w:shd w:val="clear" w:color="auto" w:fill="1F497D" w:themeFill="text2"/>
          </w:tcPr>
          <w:p w14:paraId="734674CE" w14:textId="48024ADB" w:rsidR="00576405" w:rsidRPr="0088618D" w:rsidRDefault="00576405" w:rsidP="00E04D78">
            <w:pPr>
              <w:jc w:val="center"/>
              <w:rPr>
                <w:b/>
                <w:bCs/>
                <w:color w:val="FFFFFF" w:themeColor="background1"/>
              </w:rPr>
            </w:pPr>
            <w:r w:rsidRPr="0088618D">
              <w:rPr>
                <w:b/>
                <w:bCs/>
                <w:color w:val="FFFFFF" w:themeColor="background1"/>
              </w:rPr>
              <w:t>+</w:t>
            </w:r>
            <w:r w:rsidR="00FB08A8">
              <w:rPr>
                <w:b/>
                <w:bCs/>
                <w:color w:val="FFFFFF" w:themeColor="background1"/>
              </w:rPr>
              <w:t>5</w:t>
            </w:r>
            <w:r w:rsidRPr="0088618D">
              <w:rPr>
                <w:b/>
                <w:bCs/>
                <w:color w:val="FFFFFF" w:themeColor="background1"/>
              </w:rPr>
              <w:t xml:space="preserve"> mo</w:t>
            </w:r>
          </w:p>
        </w:tc>
        <w:tc>
          <w:tcPr>
            <w:tcW w:w="157" w:type="pct"/>
            <w:gridSpan w:val="2"/>
            <w:shd w:val="clear" w:color="auto" w:fill="1F497D" w:themeFill="text2"/>
          </w:tcPr>
          <w:p w14:paraId="70FBE6DD" w14:textId="72867B73" w:rsidR="00576405" w:rsidRPr="0088618D" w:rsidRDefault="00576405" w:rsidP="00E04D78">
            <w:pPr>
              <w:jc w:val="center"/>
              <w:rPr>
                <w:b/>
                <w:bCs/>
                <w:color w:val="FFFFFF" w:themeColor="background1"/>
              </w:rPr>
            </w:pPr>
            <w:r w:rsidRPr="0088618D">
              <w:rPr>
                <w:b/>
                <w:bCs/>
                <w:color w:val="FFFFFF" w:themeColor="background1"/>
              </w:rPr>
              <w:t>+</w:t>
            </w:r>
            <w:r w:rsidR="00FB08A8">
              <w:rPr>
                <w:b/>
                <w:bCs/>
                <w:color w:val="FFFFFF" w:themeColor="background1"/>
              </w:rPr>
              <w:t>6</w:t>
            </w:r>
            <w:r w:rsidRPr="0088618D">
              <w:rPr>
                <w:b/>
                <w:bCs/>
                <w:color w:val="FFFFFF" w:themeColor="background1"/>
              </w:rPr>
              <w:t xml:space="preserve"> mo</w:t>
            </w:r>
          </w:p>
        </w:tc>
        <w:tc>
          <w:tcPr>
            <w:tcW w:w="157" w:type="pct"/>
            <w:gridSpan w:val="2"/>
            <w:shd w:val="clear" w:color="auto" w:fill="1F497D" w:themeFill="text2"/>
          </w:tcPr>
          <w:p w14:paraId="0AD49902" w14:textId="2828A9DB" w:rsidR="00576405" w:rsidRPr="0088618D" w:rsidRDefault="00576405" w:rsidP="00E04D78">
            <w:pPr>
              <w:jc w:val="center"/>
              <w:rPr>
                <w:b/>
                <w:bCs/>
                <w:color w:val="FFFFFF" w:themeColor="background1"/>
              </w:rPr>
            </w:pPr>
            <w:r w:rsidRPr="0088618D">
              <w:rPr>
                <w:b/>
                <w:bCs/>
                <w:color w:val="FFFFFF" w:themeColor="background1"/>
              </w:rPr>
              <w:t>+</w:t>
            </w:r>
            <w:r w:rsidR="00FB08A8">
              <w:rPr>
                <w:b/>
                <w:bCs/>
                <w:color w:val="FFFFFF" w:themeColor="background1"/>
              </w:rPr>
              <w:t>7</w:t>
            </w:r>
            <w:r w:rsidRPr="0088618D">
              <w:rPr>
                <w:b/>
                <w:bCs/>
                <w:color w:val="FFFFFF" w:themeColor="background1"/>
              </w:rPr>
              <w:t xml:space="preserve"> mo</w:t>
            </w:r>
          </w:p>
        </w:tc>
        <w:tc>
          <w:tcPr>
            <w:tcW w:w="157" w:type="pct"/>
            <w:gridSpan w:val="2"/>
            <w:shd w:val="clear" w:color="auto" w:fill="1F497D" w:themeFill="text2"/>
          </w:tcPr>
          <w:p w14:paraId="18FEAAC9" w14:textId="03975947" w:rsidR="00576405" w:rsidRPr="0088618D" w:rsidRDefault="00576405" w:rsidP="00E04D78">
            <w:pPr>
              <w:jc w:val="center"/>
              <w:rPr>
                <w:b/>
                <w:bCs/>
                <w:color w:val="FFFFFF" w:themeColor="background1"/>
              </w:rPr>
            </w:pPr>
            <w:r w:rsidRPr="0088618D">
              <w:rPr>
                <w:b/>
                <w:bCs/>
                <w:color w:val="FFFFFF" w:themeColor="background1"/>
              </w:rPr>
              <w:t>+</w:t>
            </w:r>
            <w:r w:rsidR="00FB08A8">
              <w:rPr>
                <w:b/>
                <w:bCs/>
                <w:color w:val="FFFFFF" w:themeColor="background1"/>
              </w:rPr>
              <w:t>8</w:t>
            </w:r>
            <w:r w:rsidRPr="0088618D">
              <w:rPr>
                <w:b/>
                <w:bCs/>
                <w:color w:val="FFFFFF" w:themeColor="background1"/>
              </w:rPr>
              <w:t xml:space="preserve"> mo</w:t>
            </w:r>
          </w:p>
        </w:tc>
        <w:tc>
          <w:tcPr>
            <w:tcW w:w="157" w:type="pct"/>
            <w:gridSpan w:val="2"/>
            <w:shd w:val="clear" w:color="auto" w:fill="1F497D" w:themeFill="text2"/>
          </w:tcPr>
          <w:p w14:paraId="7CEA9850" w14:textId="09199B10" w:rsidR="00576405" w:rsidRPr="0088618D" w:rsidRDefault="00576405" w:rsidP="00E04D78">
            <w:pPr>
              <w:jc w:val="center"/>
              <w:rPr>
                <w:b/>
                <w:bCs/>
                <w:color w:val="FFFFFF" w:themeColor="background1"/>
              </w:rPr>
            </w:pPr>
            <w:r w:rsidRPr="0088618D">
              <w:rPr>
                <w:b/>
                <w:bCs/>
                <w:color w:val="FFFFFF" w:themeColor="background1"/>
              </w:rPr>
              <w:t>+</w:t>
            </w:r>
            <w:r w:rsidR="00FB08A8">
              <w:rPr>
                <w:b/>
                <w:bCs/>
                <w:color w:val="FFFFFF" w:themeColor="background1"/>
              </w:rPr>
              <w:t>9</w:t>
            </w:r>
            <w:r w:rsidRPr="0088618D">
              <w:rPr>
                <w:b/>
                <w:bCs/>
                <w:color w:val="FFFFFF" w:themeColor="background1"/>
              </w:rPr>
              <w:t xml:space="preserve"> mo</w:t>
            </w:r>
          </w:p>
        </w:tc>
        <w:tc>
          <w:tcPr>
            <w:tcW w:w="189" w:type="pct"/>
            <w:gridSpan w:val="2"/>
            <w:shd w:val="clear" w:color="auto" w:fill="1F497D" w:themeFill="text2"/>
          </w:tcPr>
          <w:p w14:paraId="4EE23736" w14:textId="65C8D863" w:rsidR="00576405" w:rsidRPr="0088618D" w:rsidRDefault="00576405" w:rsidP="00E04D78">
            <w:pPr>
              <w:jc w:val="center"/>
              <w:rPr>
                <w:b/>
                <w:bCs/>
                <w:color w:val="FFFFFF" w:themeColor="background1"/>
              </w:rPr>
            </w:pPr>
            <w:r w:rsidRPr="0088618D">
              <w:rPr>
                <w:b/>
                <w:bCs/>
                <w:color w:val="FFFFFF" w:themeColor="background1"/>
              </w:rPr>
              <w:t>+</w:t>
            </w:r>
            <w:r w:rsidR="00FB08A8">
              <w:rPr>
                <w:b/>
                <w:bCs/>
                <w:color w:val="FFFFFF" w:themeColor="background1"/>
              </w:rPr>
              <w:t>10</w:t>
            </w:r>
            <w:r w:rsidRPr="0088618D">
              <w:rPr>
                <w:b/>
                <w:bCs/>
                <w:color w:val="FFFFFF" w:themeColor="background1"/>
              </w:rPr>
              <w:t xml:space="preserve"> mo</w:t>
            </w:r>
          </w:p>
        </w:tc>
        <w:tc>
          <w:tcPr>
            <w:tcW w:w="184" w:type="pct"/>
            <w:shd w:val="clear" w:color="auto" w:fill="1F497D" w:themeFill="text2"/>
          </w:tcPr>
          <w:p w14:paraId="576D0016" w14:textId="07F821CC" w:rsidR="00576405" w:rsidRPr="0088618D" w:rsidRDefault="00576405" w:rsidP="00E04D78">
            <w:pPr>
              <w:jc w:val="center"/>
              <w:rPr>
                <w:b/>
                <w:bCs/>
                <w:color w:val="FFFFFF" w:themeColor="background1"/>
              </w:rPr>
            </w:pPr>
            <w:r w:rsidRPr="0088618D">
              <w:rPr>
                <w:b/>
                <w:bCs/>
                <w:color w:val="FFFFFF" w:themeColor="background1"/>
              </w:rPr>
              <w:t xml:space="preserve">+ </w:t>
            </w:r>
            <w:r w:rsidR="00FB08A8">
              <w:rPr>
                <w:b/>
                <w:bCs/>
                <w:color w:val="FFFFFF" w:themeColor="background1"/>
              </w:rPr>
              <w:t>11</w:t>
            </w:r>
            <w:r w:rsidRPr="0088618D">
              <w:rPr>
                <w:b/>
                <w:bCs/>
                <w:color w:val="FFFFFF" w:themeColor="background1"/>
              </w:rPr>
              <w:t xml:space="preserve"> mo</w:t>
            </w:r>
          </w:p>
        </w:tc>
        <w:tc>
          <w:tcPr>
            <w:tcW w:w="163" w:type="pct"/>
            <w:gridSpan w:val="2"/>
            <w:shd w:val="clear" w:color="auto" w:fill="1F497D" w:themeFill="text2"/>
          </w:tcPr>
          <w:p w14:paraId="0BA9344C" w14:textId="55353C71" w:rsidR="00576405" w:rsidRPr="0088618D" w:rsidRDefault="00576405" w:rsidP="00E04D78">
            <w:pPr>
              <w:jc w:val="center"/>
              <w:rPr>
                <w:b/>
                <w:bCs/>
                <w:color w:val="FFFFFF" w:themeColor="background1"/>
              </w:rPr>
            </w:pPr>
            <w:r w:rsidRPr="0088618D">
              <w:rPr>
                <w:b/>
                <w:bCs/>
                <w:color w:val="FFFFFF" w:themeColor="background1"/>
              </w:rPr>
              <w:t>+1</w:t>
            </w:r>
            <w:r w:rsidR="00584AF1">
              <w:rPr>
                <w:b/>
                <w:bCs/>
                <w:color w:val="FFFFFF" w:themeColor="background1"/>
              </w:rPr>
              <w:t>2</w:t>
            </w:r>
            <w:r w:rsidRPr="0088618D">
              <w:rPr>
                <w:b/>
                <w:bCs/>
                <w:color w:val="FFFFFF" w:themeColor="background1"/>
              </w:rPr>
              <w:t xml:space="preserve"> mo</w:t>
            </w:r>
          </w:p>
        </w:tc>
        <w:tc>
          <w:tcPr>
            <w:tcW w:w="189" w:type="pct"/>
            <w:gridSpan w:val="2"/>
            <w:shd w:val="clear" w:color="auto" w:fill="1F497D" w:themeFill="text2"/>
          </w:tcPr>
          <w:p w14:paraId="7547F517" w14:textId="7209BD95" w:rsidR="00576405" w:rsidRPr="0088618D" w:rsidRDefault="00576405" w:rsidP="00E04D78">
            <w:pPr>
              <w:jc w:val="center"/>
              <w:rPr>
                <w:b/>
                <w:bCs/>
                <w:color w:val="FFFFFF" w:themeColor="background1"/>
              </w:rPr>
            </w:pPr>
            <w:r w:rsidRPr="0088618D">
              <w:rPr>
                <w:b/>
                <w:bCs/>
                <w:color w:val="FFFFFF" w:themeColor="background1"/>
              </w:rPr>
              <w:t>+1</w:t>
            </w:r>
            <w:r w:rsidR="00584AF1">
              <w:rPr>
                <w:b/>
                <w:bCs/>
                <w:color w:val="FFFFFF" w:themeColor="background1"/>
              </w:rPr>
              <w:t>3</w:t>
            </w:r>
            <w:r w:rsidRPr="0088618D">
              <w:rPr>
                <w:b/>
                <w:bCs/>
                <w:color w:val="FFFFFF" w:themeColor="background1"/>
              </w:rPr>
              <w:t xml:space="preserve"> mo</w:t>
            </w:r>
          </w:p>
        </w:tc>
        <w:tc>
          <w:tcPr>
            <w:tcW w:w="189" w:type="pct"/>
            <w:shd w:val="clear" w:color="auto" w:fill="1F497D" w:themeFill="text2"/>
          </w:tcPr>
          <w:p w14:paraId="64925702" w14:textId="630B96C2" w:rsidR="00576405" w:rsidRPr="0088618D" w:rsidRDefault="00576405" w:rsidP="00E04D78">
            <w:pPr>
              <w:jc w:val="center"/>
              <w:rPr>
                <w:b/>
                <w:bCs/>
                <w:color w:val="FFFFFF" w:themeColor="background1"/>
              </w:rPr>
            </w:pPr>
            <w:r w:rsidRPr="0088618D">
              <w:rPr>
                <w:b/>
                <w:bCs/>
                <w:color w:val="FFFFFF" w:themeColor="background1"/>
              </w:rPr>
              <w:t>+1</w:t>
            </w:r>
            <w:r w:rsidR="00584AF1">
              <w:rPr>
                <w:b/>
                <w:bCs/>
                <w:color w:val="FFFFFF" w:themeColor="background1"/>
              </w:rPr>
              <w:t>4</w:t>
            </w:r>
            <w:r w:rsidRPr="0088618D">
              <w:rPr>
                <w:b/>
                <w:bCs/>
                <w:color w:val="FFFFFF" w:themeColor="background1"/>
              </w:rPr>
              <w:t xml:space="preserve"> mo</w:t>
            </w:r>
          </w:p>
        </w:tc>
      </w:tr>
      <w:tr w:rsidR="00A50A73" w:rsidRPr="00896A66" w14:paraId="1E27ABEC" w14:textId="77777777" w:rsidTr="0074275D">
        <w:tc>
          <w:tcPr>
            <w:tcW w:w="5000" w:type="pct"/>
            <w:gridSpan w:val="30"/>
            <w:shd w:val="clear" w:color="auto" w:fill="C6D9F1" w:themeFill="text2" w:themeFillTint="33"/>
          </w:tcPr>
          <w:p w14:paraId="500D028D" w14:textId="77777777" w:rsidR="00A50A73" w:rsidRPr="0088618D" w:rsidRDefault="00A50A73" w:rsidP="00E04D78">
            <w:pPr>
              <w:jc w:val="center"/>
              <w:rPr>
                <w:b/>
                <w:bCs/>
              </w:rPr>
            </w:pPr>
            <w:r w:rsidRPr="0088618D">
              <w:rPr>
                <w:b/>
                <w:bCs/>
              </w:rPr>
              <w:t>Key Milestones</w:t>
            </w:r>
          </w:p>
        </w:tc>
      </w:tr>
      <w:tr w:rsidR="00B31B14" w:rsidRPr="00896A66" w14:paraId="1A162FE6" w14:textId="77777777" w:rsidTr="0074275D">
        <w:tc>
          <w:tcPr>
            <w:tcW w:w="1660" w:type="pct"/>
            <w:vAlign w:val="center"/>
          </w:tcPr>
          <w:p w14:paraId="72FB4842" w14:textId="77777777" w:rsidR="00576405" w:rsidRPr="0088618D" w:rsidRDefault="00576405" w:rsidP="00E04D78">
            <w:pPr>
              <w:rPr>
                <w:b/>
                <w:bCs/>
              </w:rPr>
            </w:pPr>
            <w:r w:rsidRPr="0088618D">
              <w:rPr>
                <w:b/>
                <w:bCs/>
              </w:rPr>
              <w:t>Planning</w:t>
            </w:r>
          </w:p>
        </w:tc>
        <w:tc>
          <w:tcPr>
            <w:tcW w:w="615" w:type="pct"/>
            <w:shd w:val="clear" w:color="auto" w:fill="F79646" w:themeFill="accent6"/>
            <w:vAlign w:val="center"/>
          </w:tcPr>
          <w:p w14:paraId="2D100FC7" w14:textId="77777777" w:rsidR="00576405" w:rsidRPr="000549DA" w:rsidRDefault="00576405" w:rsidP="00E04D78">
            <w:pPr>
              <w:jc w:val="center"/>
              <w:rPr>
                <w:b/>
                <w:bCs/>
              </w:rPr>
            </w:pPr>
            <w:r w:rsidRPr="000549DA">
              <w:rPr>
                <w:b/>
                <w:bCs/>
              </w:rPr>
              <w:t>*</w:t>
            </w:r>
          </w:p>
        </w:tc>
        <w:tc>
          <w:tcPr>
            <w:tcW w:w="404" w:type="pct"/>
            <w:gridSpan w:val="2"/>
            <w:shd w:val="clear" w:color="auto" w:fill="auto"/>
            <w:vAlign w:val="center"/>
          </w:tcPr>
          <w:p w14:paraId="728349D5" w14:textId="77777777" w:rsidR="00576405" w:rsidRPr="0088618D" w:rsidRDefault="00576405" w:rsidP="00E04D78">
            <w:pPr>
              <w:jc w:val="center"/>
              <w:rPr>
                <w:b/>
                <w:bCs/>
              </w:rPr>
            </w:pPr>
          </w:p>
        </w:tc>
        <w:tc>
          <w:tcPr>
            <w:tcW w:w="154" w:type="pct"/>
            <w:gridSpan w:val="2"/>
            <w:shd w:val="clear" w:color="auto" w:fill="auto"/>
            <w:vAlign w:val="center"/>
          </w:tcPr>
          <w:p w14:paraId="31B465F1" w14:textId="77777777" w:rsidR="00576405" w:rsidRPr="0088618D" w:rsidRDefault="00576405" w:rsidP="00E04D78">
            <w:pPr>
              <w:jc w:val="center"/>
              <w:rPr>
                <w:b/>
                <w:bCs/>
              </w:rPr>
            </w:pPr>
          </w:p>
        </w:tc>
        <w:tc>
          <w:tcPr>
            <w:tcW w:w="154" w:type="pct"/>
            <w:gridSpan w:val="2"/>
            <w:shd w:val="clear" w:color="auto" w:fill="auto"/>
            <w:vAlign w:val="center"/>
          </w:tcPr>
          <w:p w14:paraId="5C3A0C40" w14:textId="06BF433E" w:rsidR="00576405" w:rsidRPr="0088618D" w:rsidRDefault="00576405" w:rsidP="00E04D78">
            <w:pPr>
              <w:jc w:val="center"/>
              <w:rPr>
                <w:b/>
                <w:bCs/>
              </w:rPr>
            </w:pPr>
          </w:p>
        </w:tc>
        <w:tc>
          <w:tcPr>
            <w:tcW w:w="157" w:type="pct"/>
            <w:gridSpan w:val="2"/>
            <w:shd w:val="clear" w:color="auto" w:fill="auto"/>
            <w:vAlign w:val="center"/>
          </w:tcPr>
          <w:p w14:paraId="39F4CD9D" w14:textId="77777777" w:rsidR="00576405" w:rsidRPr="0088618D" w:rsidRDefault="00576405" w:rsidP="00E04D78">
            <w:pPr>
              <w:jc w:val="center"/>
              <w:rPr>
                <w:b/>
                <w:bCs/>
              </w:rPr>
            </w:pPr>
          </w:p>
        </w:tc>
        <w:tc>
          <w:tcPr>
            <w:tcW w:w="157" w:type="pct"/>
            <w:gridSpan w:val="2"/>
            <w:shd w:val="clear" w:color="auto" w:fill="auto"/>
            <w:vAlign w:val="center"/>
          </w:tcPr>
          <w:p w14:paraId="7F80DC1E" w14:textId="77777777" w:rsidR="00576405" w:rsidRPr="0088618D" w:rsidRDefault="00576405" w:rsidP="00E04D78">
            <w:pPr>
              <w:jc w:val="center"/>
              <w:rPr>
                <w:b/>
                <w:bCs/>
              </w:rPr>
            </w:pPr>
          </w:p>
        </w:tc>
        <w:tc>
          <w:tcPr>
            <w:tcW w:w="157" w:type="pct"/>
            <w:gridSpan w:val="2"/>
            <w:shd w:val="clear" w:color="auto" w:fill="auto"/>
            <w:vAlign w:val="center"/>
          </w:tcPr>
          <w:p w14:paraId="0D89742C" w14:textId="77777777" w:rsidR="00576405" w:rsidRPr="0088618D" w:rsidRDefault="00576405" w:rsidP="00E04D78">
            <w:pPr>
              <w:jc w:val="center"/>
              <w:rPr>
                <w:b/>
                <w:bCs/>
              </w:rPr>
            </w:pPr>
          </w:p>
        </w:tc>
        <w:tc>
          <w:tcPr>
            <w:tcW w:w="157" w:type="pct"/>
            <w:gridSpan w:val="2"/>
            <w:shd w:val="clear" w:color="auto" w:fill="auto"/>
            <w:vAlign w:val="center"/>
          </w:tcPr>
          <w:p w14:paraId="6D3A6677" w14:textId="77777777" w:rsidR="00576405" w:rsidRPr="0088618D" w:rsidRDefault="00576405" w:rsidP="00E04D78">
            <w:pPr>
              <w:jc w:val="center"/>
              <w:rPr>
                <w:b/>
                <w:bCs/>
              </w:rPr>
            </w:pPr>
          </w:p>
        </w:tc>
        <w:tc>
          <w:tcPr>
            <w:tcW w:w="157" w:type="pct"/>
            <w:gridSpan w:val="2"/>
            <w:shd w:val="clear" w:color="auto" w:fill="auto"/>
            <w:vAlign w:val="center"/>
          </w:tcPr>
          <w:p w14:paraId="7479E30E" w14:textId="77777777" w:rsidR="00576405" w:rsidRPr="0088618D" w:rsidRDefault="00576405" w:rsidP="00E04D78">
            <w:pPr>
              <w:jc w:val="center"/>
              <w:rPr>
                <w:b/>
                <w:bCs/>
              </w:rPr>
            </w:pPr>
          </w:p>
        </w:tc>
        <w:tc>
          <w:tcPr>
            <w:tcW w:w="157" w:type="pct"/>
            <w:gridSpan w:val="2"/>
            <w:shd w:val="clear" w:color="auto" w:fill="auto"/>
            <w:vAlign w:val="center"/>
          </w:tcPr>
          <w:p w14:paraId="03088BCC" w14:textId="77777777" w:rsidR="00576405" w:rsidRPr="0088618D" w:rsidRDefault="00576405" w:rsidP="00E04D78">
            <w:pPr>
              <w:jc w:val="center"/>
              <w:rPr>
                <w:b/>
                <w:bCs/>
              </w:rPr>
            </w:pPr>
          </w:p>
        </w:tc>
        <w:tc>
          <w:tcPr>
            <w:tcW w:w="157" w:type="pct"/>
            <w:gridSpan w:val="2"/>
            <w:shd w:val="clear" w:color="auto" w:fill="auto"/>
            <w:vAlign w:val="center"/>
          </w:tcPr>
          <w:p w14:paraId="79E7C063" w14:textId="77777777" w:rsidR="00576405" w:rsidRPr="0088618D" w:rsidRDefault="00576405" w:rsidP="00E04D78">
            <w:pPr>
              <w:jc w:val="center"/>
              <w:rPr>
                <w:b/>
                <w:bCs/>
              </w:rPr>
            </w:pPr>
          </w:p>
        </w:tc>
        <w:tc>
          <w:tcPr>
            <w:tcW w:w="189" w:type="pct"/>
            <w:gridSpan w:val="2"/>
            <w:shd w:val="clear" w:color="auto" w:fill="auto"/>
            <w:vAlign w:val="center"/>
          </w:tcPr>
          <w:p w14:paraId="4ACC8769" w14:textId="77777777" w:rsidR="00576405" w:rsidRPr="0088618D" w:rsidRDefault="00576405" w:rsidP="00E04D78">
            <w:pPr>
              <w:jc w:val="center"/>
              <w:rPr>
                <w:b/>
                <w:bCs/>
              </w:rPr>
            </w:pPr>
          </w:p>
        </w:tc>
        <w:tc>
          <w:tcPr>
            <w:tcW w:w="184" w:type="pct"/>
            <w:shd w:val="clear" w:color="auto" w:fill="auto"/>
            <w:vAlign w:val="center"/>
          </w:tcPr>
          <w:p w14:paraId="237391DA" w14:textId="77777777" w:rsidR="00576405" w:rsidRPr="0088618D" w:rsidRDefault="00576405" w:rsidP="00E04D78">
            <w:pPr>
              <w:jc w:val="center"/>
              <w:rPr>
                <w:b/>
                <w:bCs/>
              </w:rPr>
            </w:pPr>
          </w:p>
        </w:tc>
        <w:tc>
          <w:tcPr>
            <w:tcW w:w="163" w:type="pct"/>
            <w:gridSpan w:val="2"/>
            <w:shd w:val="clear" w:color="auto" w:fill="auto"/>
            <w:vAlign w:val="center"/>
          </w:tcPr>
          <w:p w14:paraId="23AF0F58" w14:textId="77777777" w:rsidR="00576405" w:rsidRPr="0088618D" w:rsidRDefault="00576405" w:rsidP="00E04D78">
            <w:pPr>
              <w:jc w:val="center"/>
              <w:rPr>
                <w:b/>
                <w:bCs/>
              </w:rPr>
            </w:pPr>
          </w:p>
        </w:tc>
        <w:tc>
          <w:tcPr>
            <w:tcW w:w="189" w:type="pct"/>
            <w:gridSpan w:val="2"/>
            <w:shd w:val="clear" w:color="auto" w:fill="auto"/>
            <w:vAlign w:val="center"/>
          </w:tcPr>
          <w:p w14:paraId="0DEC70D3" w14:textId="77777777" w:rsidR="00576405" w:rsidRPr="0088618D" w:rsidRDefault="00576405" w:rsidP="00E04D78">
            <w:pPr>
              <w:jc w:val="center"/>
              <w:rPr>
                <w:b/>
                <w:bCs/>
              </w:rPr>
            </w:pPr>
          </w:p>
        </w:tc>
        <w:tc>
          <w:tcPr>
            <w:tcW w:w="189" w:type="pct"/>
            <w:shd w:val="clear" w:color="auto" w:fill="auto"/>
            <w:vAlign w:val="center"/>
          </w:tcPr>
          <w:p w14:paraId="42B0F790" w14:textId="77777777" w:rsidR="00576405" w:rsidRPr="0088618D" w:rsidRDefault="00576405" w:rsidP="00E04D78">
            <w:pPr>
              <w:jc w:val="center"/>
              <w:rPr>
                <w:b/>
                <w:bCs/>
              </w:rPr>
            </w:pPr>
          </w:p>
        </w:tc>
      </w:tr>
      <w:tr w:rsidR="00B31B14" w:rsidRPr="00896A66" w14:paraId="57A1BCAD" w14:textId="77777777" w:rsidTr="0098408B">
        <w:tc>
          <w:tcPr>
            <w:tcW w:w="1660" w:type="pct"/>
            <w:vAlign w:val="center"/>
          </w:tcPr>
          <w:p w14:paraId="01F264E7" w14:textId="5A21DEAF" w:rsidR="009B656B" w:rsidRPr="0088618D" w:rsidRDefault="00A41F93" w:rsidP="00E04D78">
            <w:pPr>
              <w:rPr>
                <w:b/>
                <w:bCs/>
              </w:rPr>
            </w:pPr>
            <w:r>
              <w:rPr>
                <w:b/>
                <w:bCs/>
              </w:rPr>
              <w:t>Eligibility Determinations</w:t>
            </w:r>
            <w:r w:rsidR="002744DD">
              <w:rPr>
                <w:b/>
                <w:bCs/>
              </w:rPr>
              <w:t xml:space="preserve"> Complete</w:t>
            </w:r>
            <w:r w:rsidR="007650B4">
              <w:rPr>
                <w:b/>
                <w:bCs/>
              </w:rPr>
              <w:t>d</w:t>
            </w:r>
            <w:r w:rsidR="002744DD">
              <w:rPr>
                <w:b/>
                <w:bCs/>
              </w:rPr>
              <w:t xml:space="preserve"> – Pending MAGI and Non-disability </w:t>
            </w:r>
          </w:p>
        </w:tc>
        <w:tc>
          <w:tcPr>
            <w:tcW w:w="615" w:type="pct"/>
            <w:shd w:val="clear" w:color="auto" w:fill="auto"/>
            <w:vAlign w:val="center"/>
          </w:tcPr>
          <w:p w14:paraId="4B15A625" w14:textId="77777777" w:rsidR="009B656B" w:rsidRPr="000549DA" w:rsidRDefault="009B656B" w:rsidP="00E04D78">
            <w:pPr>
              <w:jc w:val="center"/>
              <w:rPr>
                <w:b/>
                <w:bCs/>
              </w:rPr>
            </w:pPr>
          </w:p>
        </w:tc>
        <w:tc>
          <w:tcPr>
            <w:tcW w:w="404" w:type="pct"/>
            <w:gridSpan w:val="2"/>
            <w:shd w:val="clear" w:color="auto" w:fill="auto"/>
            <w:vAlign w:val="center"/>
          </w:tcPr>
          <w:p w14:paraId="1893A413" w14:textId="77777777" w:rsidR="009B656B" w:rsidRPr="0088618D" w:rsidRDefault="009B656B" w:rsidP="00E04D78">
            <w:pPr>
              <w:jc w:val="center"/>
              <w:rPr>
                <w:b/>
                <w:bCs/>
              </w:rPr>
            </w:pPr>
          </w:p>
        </w:tc>
        <w:tc>
          <w:tcPr>
            <w:tcW w:w="154" w:type="pct"/>
            <w:gridSpan w:val="2"/>
            <w:shd w:val="clear" w:color="auto" w:fill="auto"/>
            <w:vAlign w:val="center"/>
          </w:tcPr>
          <w:p w14:paraId="730A3415" w14:textId="77777777" w:rsidR="009B656B" w:rsidRPr="0088618D" w:rsidRDefault="009B656B" w:rsidP="00E04D78">
            <w:pPr>
              <w:jc w:val="center"/>
              <w:rPr>
                <w:b/>
                <w:bCs/>
              </w:rPr>
            </w:pPr>
          </w:p>
        </w:tc>
        <w:tc>
          <w:tcPr>
            <w:tcW w:w="154" w:type="pct"/>
            <w:gridSpan w:val="2"/>
            <w:shd w:val="clear" w:color="auto" w:fill="F79646" w:themeFill="accent6"/>
            <w:vAlign w:val="center"/>
          </w:tcPr>
          <w:p w14:paraId="697CF8E5" w14:textId="27FEE5D5" w:rsidR="009B656B" w:rsidRPr="0088618D" w:rsidRDefault="00C474E2" w:rsidP="00E04D78">
            <w:pPr>
              <w:jc w:val="center"/>
              <w:rPr>
                <w:b/>
                <w:bCs/>
              </w:rPr>
            </w:pPr>
            <w:r w:rsidRPr="0088618D">
              <w:rPr>
                <w:b/>
                <w:bCs/>
              </w:rPr>
              <w:t>*</w:t>
            </w:r>
          </w:p>
        </w:tc>
        <w:tc>
          <w:tcPr>
            <w:tcW w:w="157" w:type="pct"/>
            <w:gridSpan w:val="2"/>
            <w:shd w:val="clear" w:color="auto" w:fill="auto"/>
            <w:vAlign w:val="center"/>
          </w:tcPr>
          <w:p w14:paraId="7A655F5A" w14:textId="4EA377F4" w:rsidR="009B656B" w:rsidRPr="0088618D" w:rsidRDefault="009B656B" w:rsidP="00E04D78">
            <w:pPr>
              <w:jc w:val="center"/>
              <w:rPr>
                <w:b/>
                <w:bCs/>
              </w:rPr>
            </w:pPr>
          </w:p>
        </w:tc>
        <w:tc>
          <w:tcPr>
            <w:tcW w:w="157" w:type="pct"/>
            <w:gridSpan w:val="2"/>
            <w:shd w:val="clear" w:color="auto" w:fill="auto"/>
            <w:vAlign w:val="center"/>
          </w:tcPr>
          <w:p w14:paraId="1E07EAB2" w14:textId="77777777" w:rsidR="009B656B" w:rsidRPr="0088618D" w:rsidRDefault="009B656B" w:rsidP="00E04D78">
            <w:pPr>
              <w:jc w:val="center"/>
              <w:rPr>
                <w:b/>
                <w:bCs/>
              </w:rPr>
            </w:pPr>
          </w:p>
        </w:tc>
        <w:tc>
          <w:tcPr>
            <w:tcW w:w="157" w:type="pct"/>
            <w:gridSpan w:val="2"/>
            <w:shd w:val="clear" w:color="auto" w:fill="auto"/>
            <w:vAlign w:val="center"/>
          </w:tcPr>
          <w:p w14:paraId="30C370D4" w14:textId="77777777" w:rsidR="009B656B" w:rsidRPr="0088618D" w:rsidRDefault="009B656B" w:rsidP="00E04D78">
            <w:pPr>
              <w:jc w:val="center"/>
              <w:rPr>
                <w:b/>
                <w:bCs/>
              </w:rPr>
            </w:pPr>
          </w:p>
        </w:tc>
        <w:tc>
          <w:tcPr>
            <w:tcW w:w="157" w:type="pct"/>
            <w:gridSpan w:val="2"/>
            <w:shd w:val="clear" w:color="auto" w:fill="auto"/>
            <w:vAlign w:val="center"/>
          </w:tcPr>
          <w:p w14:paraId="54CC3767" w14:textId="77777777" w:rsidR="009B656B" w:rsidRPr="0088618D" w:rsidRDefault="009B656B" w:rsidP="00E04D78">
            <w:pPr>
              <w:jc w:val="center"/>
              <w:rPr>
                <w:b/>
                <w:bCs/>
              </w:rPr>
            </w:pPr>
          </w:p>
        </w:tc>
        <w:tc>
          <w:tcPr>
            <w:tcW w:w="157" w:type="pct"/>
            <w:gridSpan w:val="2"/>
            <w:shd w:val="clear" w:color="auto" w:fill="auto"/>
            <w:vAlign w:val="center"/>
          </w:tcPr>
          <w:p w14:paraId="397641B6" w14:textId="77777777" w:rsidR="009B656B" w:rsidRPr="0088618D" w:rsidRDefault="009B656B" w:rsidP="00E04D78">
            <w:pPr>
              <w:jc w:val="center"/>
              <w:rPr>
                <w:b/>
                <w:bCs/>
              </w:rPr>
            </w:pPr>
          </w:p>
        </w:tc>
        <w:tc>
          <w:tcPr>
            <w:tcW w:w="157" w:type="pct"/>
            <w:gridSpan w:val="2"/>
            <w:shd w:val="clear" w:color="auto" w:fill="auto"/>
            <w:vAlign w:val="center"/>
          </w:tcPr>
          <w:p w14:paraId="08C3AE0D" w14:textId="77777777" w:rsidR="009B656B" w:rsidRPr="0088618D" w:rsidRDefault="009B656B" w:rsidP="00E04D78">
            <w:pPr>
              <w:jc w:val="center"/>
              <w:rPr>
                <w:b/>
                <w:bCs/>
              </w:rPr>
            </w:pPr>
          </w:p>
        </w:tc>
        <w:tc>
          <w:tcPr>
            <w:tcW w:w="157" w:type="pct"/>
            <w:gridSpan w:val="2"/>
            <w:shd w:val="clear" w:color="auto" w:fill="auto"/>
            <w:vAlign w:val="center"/>
          </w:tcPr>
          <w:p w14:paraId="55F8CE69" w14:textId="77777777" w:rsidR="009B656B" w:rsidRPr="0088618D" w:rsidRDefault="009B656B" w:rsidP="00E04D78">
            <w:pPr>
              <w:jc w:val="center"/>
              <w:rPr>
                <w:b/>
                <w:bCs/>
              </w:rPr>
            </w:pPr>
          </w:p>
        </w:tc>
        <w:tc>
          <w:tcPr>
            <w:tcW w:w="189" w:type="pct"/>
            <w:gridSpan w:val="2"/>
            <w:shd w:val="clear" w:color="auto" w:fill="auto"/>
            <w:vAlign w:val="center"/>
          </w:tcPr>
          <w:p w14:paraId="451379FF" w14:textId="77777777" w:rsidR="009B656B" w:rsidRPr="0088618D" w:rsidRDefault="009B656B" w:rsidP="00E04D78">
            <w:pPr>
              <w:jc w:val="center"/>
              <w:rPr>
                <w:b/>
                <w:bCs/>
              </w:rPr>
            </w:pPr>
          </w:p>
        </w:tc>
        <w:tc>
          <w:tcPr>
            <w:tcW w:w="184" w:type="pct"/>
            <w:shd w:val="clear" w:color="auto" w:fill="auto"/>
            <w:vAlign w:val="center"/>
          </w:tcPr>
          <w:p w14:paraId="173BFC0A" w14:textId="77777777" w:rsidR="009B656B" w:rsidRPr="0088618D" w:rsidRDefault="009B656B" w:rsidP="00E04D78">
            <w:pPr>
              <w:jc w:val="center"/>
              <w:rPr>
                <w:b/>
                <w:bCs/>
              </w:rPr>
            </w:pPr>
          </w:p>
        </w:tc>
        <w:tc>
          <w:tcPr>
            <w:tcW w:w="163" w:type="pct"/>
            <w:gridSpan w:val="2"/>
            <w:shd w:val="clear" w:color="auto" w:fill="auto"/>
            <w:vAlign w:val="center"/>
          </w:tcPr>
          <w:p w14:paraId="7340BB49" w14:textId="77777777" w:rsidR="009B656B" w:rsidRPr="0088618D" w:rsidRDefault="009B656B" w:rsidP="00E04D78">
            <w:pPr>
              <w:jc w:val="center"/>
              <w:rPr>
                <w:b/>
                <w:bCs/>
              </w:rPr>
            </w:pPr>
          </w:p>
        </w:tc>
        <w:tc>
          <w:tcPr>
            <w:tcW w:w="189" w:type="pct"/>
            <w:gridSpan w:val="2"/>
            <w:shd w:val="clear" w:color="auto" w:fill="auto"/>
            <w:vAlign w:val="center"/>
          </w:tcPr>
          <w:p w14:paraId="155DCD71" w14:textId="77777777" w:rsidR="009B656B" w:rsidRPr="0088618D" w:rsidRDefault="009B656B" w:rsidP="00E04D78">
            <w:pPr>
              <w:jc w:val="center"/>
              <w:rPr>
                <w:b/>
                <w:bCs/>
              </w:rPr>
            </w:pPr>
          </w:p>
        </w:tc>
        <w:tc>
          <w:tcPr>
            <w:tcW w:w="189" w:type="pct"/>
            <w:shd w:val="clear" w:color="auto" w:fill="auto"/>
            <w:vAlign w:val="center"/>
          </w:tcPr>
          <w:p w14:paraId="4A9F2D82" w14:textId="77777777" w:rsidR="009B656B" w:rsidRPr="0088618D" w:rsidRDefault="009B656B" w:rsidP="00E04D78">
            <w:pPr>
              <w:jc w:val="center"/>
              <w:rPr>
                <w:b/>
                <w:bCs/>
              </w:rPr>
            </w:pPr>
          </w:p>
        </w:tc>
      </w:tr>
      <w:tr w:rsidR="00B31B14" w:rsidRPr="00896A66" w14:paraId="5706F51E" w14:textId="77777777" w:rsidTr="0074275D">
        <w:tc>
          <w:tcPr>
            <w:tcW w:w="1660" w:type="pct"/>
            <w:vAlign w:val="center"/>
          </w:tcPr>
          <w:p w14:paraId="73434B8A" w14:textId="2E69D47D" w:rsidR="002744DD" w:rsidRPr="0088618D" w:rsidRDefault="002744DD" w:rsidP="00E04D78">
            <w:pPr>
              <w:rPr>
                <w:b/>
                <w:bCs/>
              </w:rPr>
            </w:pPr>
            <w:r>
              <w:rPr>
                <w:b/>
                <w:bCs/>
              </w:rPr>
              <w:t>Eligibility Determinations Complete</w:t>
            </w:r>
            <w:r w:rsidR="007650B4">
              <w:rPr>
                <w:b/>
                <w:bCs/>
              </w:rPr>
              <w:t>d</w:t>
            </w:r>
            <w:r>
              <w:rPr>
                <w:b/>
                <w:bCs/>
              </w:rPr>
              <w:t xml:space="preserve"> – Pending Disability-related</w:t>
            </w:r>
          </w:p>
        </w:tc>
        <w:tc>
          <w:tcPr>
            <w:tcW w:w="615" w:type="pct"/>
            <w:vAlign w:val="center"/>
          </w:tcPr>
          <w:p w14:paraId="77B5E816" w14:textId="77777777" w:rsidR="002744DD" w:rsidRPr="0088618D" w:rsidRDefault="002744DD" w:rsidP="00E04D78">
            <w:pPr>
              <w:jc w:val="center"/>
              <w:rPr>
                <w:b/>
                <w:bCs/>
              </w:rPr>
            </w:pPr>
          </w:p>
        </w:tc>
        <w:tc>
          <w:tcPr>
            <w:tcW w:w="404" w:type="pct"/>
            <w:gridSpan w:val="2"/>
            <w:shd w:val="clear" w:color="auto" w:fill="auto"/>
            <w:vAlign w:val="center"/>
          </w:tcPr>
          <w:p w14:paraId="1895970B" w14:textId="77777777" w:rsidR="002744DD" w:rsidRPr="000549DA" w:rsidRDefault="002744DD" w:rsidP="00E04D78">
            <w:pPr>
              <w:jc w:val="center"/>
              <w:rPr>
                <w:b/>
                <w:bCs/>
              </w:rPr>
            </w:pPr>
          </w:p>
        </w:tc>
        <w:tc>
          <w:tcPr>
            <w:tcW w:w="154" w:type="pct"/>
            <w:gridSpan w:val="2"/>
            <w:shd w:val="clear" w:color="auto" w:fill="auto"/>
            <w:vAlign w:val="center"/>
          </w:tcPr>
          <w:p w14:paraId="3DD04EFF" w14:textId="77777777" w:rsidR="002744DD" w:rsidRPr="000549DA" w:rsidRDefault="002744DD" w:rsidP="00E04D78">
            <w:pPr>
              <w:jc w:val="center"/>
              <w:rPr>
                <w:b/>
                <w:bCs/>
              </w:rPr>
            </w:pPr>
          </w:p>
        </w:tc>
        <w:tc>
          <w:tcPr>
            <w:tcW w:w="154" w:type="pct"/>
            <w:gridSpan w:val="2"/>
            <w:shd w:val="clear" w:color="auto" w:fill="auto"/>
            <w:vAlign w:val="center"/>
          </w:tcPr>
          <w:p w14:paraId="7B7369D8" w14:textId="77777777" w:rsidR="002744DD" w:rsidRPr="000549DA" w:rsidRDefault="002744DD" w:rsidP="00E04D78">
            <w:pPr>
              <w:jc w:val="center"/>
              <w:rPr>
                <w:b/>
                <w:bCs/>
              </w:rPr>
            </w:pPr>
          </w:p>
        </w:tc>
        <w:tc>
          <w:tcPr>
            <w:tcW w:w="157" w:type="pct"/>
            <w:gridSpan w:val="2"/>
            <w:shd w:val="clear" w:color="auto" w:fill="F79646" w:themeFill="accent6"/>
            <w:vAlign w:val="center"/>
          </w:tcPr>
          <w:p w14:paraId="15B0822D" w14:textId="06C56C30" w:rsidR="002744DD" w:rsidRPr="0088618D" w:rsidRDefault="002744DD" w:rsidP="00E04D78">
            <w:pPr>
              <w:jc w:val="center"/>
              <w:rPr>
                <w:b/>
                <w:bCs/>
              </w:rPr>
            </w:pPr>
            <w:r w:rsidRPr="0088618D">
              <w:rPr>
                <w:b/>
                <w:bCs/>
              </w:rPr>
              <w:t>*</w:t>
            </w:r>
          </w:p>
        </w:tc>
        <w:tc>
          <w:tcPr>
            <w:tcW w:w="157" w:type="pct"/>
            <w:gridSpan w:val="2"/>
            <w:shd w:val="clear" w:color="auto" w:fill="auto"/>
            <w:vAlign w:val="center"/>
          </w:tcPr>
          <w:p w14:paraId="2F7EB1D2" w14:textId="77777777" w:rsidR="002744DD" w:rsidRPr="0088618D" w:rsidRDefault="002744DD" w:rsidP="00E04D78">
            <w:pPr>
              <w:jc w:val="center"/>
              <w:rPr>
                <w:b/>
                <w:bCs/>
              </w:rPr>
            </w:pPr>
          </w:p>
        </w:tc>
        <w:tc>
          <w:tcPr>
            <w:tcW w:w="157" w:type="pct"/>
            <w:gridSpan w:val="2"/>
            <w:shd w:val="clear" w:color="auto" w:fill="auto"/>
            <w:vAlign w:val="center"/>
          </w:tcPr>
          <w:p w14:paraId="2A7884FB" w14:textId="77777777" w:rsidR="002744DD" w:rsidRPr="0088618D" w:rsidRDefault="002744DD" w:rsidP="00E04D78">
            <w:pPr>
              <w:jc w:val="center"/>
              <w:rPr>
                <w:b/>
                <w:bCs/>
              </w:rPr>
            </w:pPr>
          </w:p>
        </w:tc>
        <w:tc>
          <w:tcPr>
            <w:tcW w:w="157" w:type="pct"/>
            <w:gridSpan w:val="2"/>
            <w:shd w:val="clear" w:color="auto" w:fill="auto"/>
            <w:vAlign w:val="center"/>
          </w:tcPr>
          <w:p w14:paraId="6C9253CB" w14:textId="77777777" w:rsidR="002744DD" w:rsidRPr="0088618D" w:rsidDel="00373BB7" w:rsidRDefault="002744DD" w:rsidP="00E04D78">
            <w:pPr>
              <w:jc w:val="center"/>
              <w:rPr>
                <w:b/>
                <w:bCs/>
              </w:rPr>
            </w:pPr>
          </w:p>
        </w:tc>
        <w:tc>
          <w:tcPr>
            <w:tcW w:w="157" w:type="pct"/>
            <w:gridSpan w:val="2"/>
            <w:shd w:val="clear" w:color="auto" w:fill="auto"/>
            <w:vAlign w:val="center"/>
          </w:tcPr>
          <w:p w14:paraId="44A57EF1" w14:textId="77777777" w:rsidR="002744DD" w:rsidRPr="0088618D" w:rsidRDefault="002744DD" w:rsidP="00E04D78">
            <w:pPr>
              <w:jc w:val="center"/>
              <w:rPr>
                <w:b/>
                <w:bCs/>
              </w:rPr>
            </w:pPr>
          </w:p>
        </w:tc>
        <w:tc>
          <w:tcPr>
            <w:tcW w:w="157" w:type="pct"/>
            <w:gridSpan w:val="2"/>
            <w:shd w:val="clear" w:color="auto" w:fill="auto"/>
            <w:vAlign w:val="center"/>
          </w:tcPr>
          <w:p w14:paraId="1C03C87B" w14:textId="77777777" w:rsidR="002744DD" w:rsidRPr="0088618D" w:rsidRDefault="002744DD" w:rsidP="00E04D78">
            <w:pPr>
              <w:jc w:val="center"/>
              <w:rPr>
                <w:b/>
                <w:bCs/>
              </w:rPr>
            </w:pPr>
          </w:p>
        </w:tc>
        <w:tc>
          <w:tcPr>
            <w:tcW w:w="157" w:type="pct"/>
            <w:gridSpan w:val="2"/>
            <w:shd w:val="clear" w:color="auto" w:fill="auto"/>
            <w:vAlign w:val="center"/>
          </w:tcPr>
          <w:p w14:paraId="582EE3DC" w14:textId="77777777" w:rsidR="002744DD" w:rsidRPr="0088618D" w:rsidRDefault="002744DD" w:rsidP="00E04D78">
            <w:pPr>
              <w:jc w:val="center"/>
              <w:rPr>
                <w:b/>
                <w:bCs/>
              </w:rPr>
            </w:pPr>
          </w:p>
        </w:tc>
        <w:tc>
          <w:tcPr>
            <w:tcW w:w="189" w:type="pct"/>
            <w:gridSpan w:val="2"/>
            <w:shd w:val="clear" w:color="auto" w:fill="auto"/>
            <w:vAlign w:val="center"/>
          </w:tcPr>
          <w:p w14:paraId="19E84C36" w14:textId="77777777" w:rsidR="002744DD" w:rsidRPr="0088618D" w:rsidRDefault="002744DD" w:rsidP="00E04D78">
            <w:pPr>
              <w:jc w:val="center"/>
              <w:rPr>
                <w:b/>
                <w:bCs/>
              </w:rPr>
            </w:pPr>
          </w:p>
        </w:tc>
        <w:tc>
          <w:tcPr>
            <w:tcW w:w="184" w:type="pct"/>
            <w:shd w:val="clear" w:color="auto" w:fill="auto"/>
            <w:vAlign w:val="center"/>
          </w:tcPr>
          <w:p w14:paraId="7FC06C8F" w14:textId="77777777" w:rsidR="002744DD" w:rsidRPr="0088618D" w:rsidRDefault="002744DD" w:rsidP="00E04D78">
            <w:pPr>
              <w:jc w:val="center"/>
              <w:rPr>
                <w:b/>
                <w:bCs/>
              </w:rPr>
            </w:pPr>
          </w:p>
        </w:tc>
        <w:tc>
          <w:tcPr>
            <w:tcW w:w="163" w:type="pct"/>
            <w:gridSpan w:val="2"/>
            <w:shd w:val="clear" w:color="auto" w:fill="auto"/>
            <w:vAlign w:val="center"/>
          </w:tcPr>
          <w:p w14:paraId="1411ABF4" w14:textId="77777777" w:rsidR="002744DD" w:rsidRPr="0088618D" w:rsidRDefault="002744DD" w:rsidP="00E04D78">
            <w:pPr>
              <w:jc w:val="center"/>
              <w:rPr>
                <w:b/>
                <w:bCs/>
              </w:rPr>
            </w:pPr>
          </w:p>
        </w:tc>
        <w:tc>
          <w:tcPr>
            <w:tcW w:w="189" w:type="pct"/>
            <w:gridSpan w:val="2"/>
            <w:shd w:val="clear" w:color="auto" w:fill="auto"/>
            <w:vAlign w:val="center"/>
          </w:tcPr>
          <w:p w14:paraId="04FE68D1" w14:textId="77777777" w:rsidR="002744DD" w:rsidRPr="0088618D" w:rsidRDefault="002744DD" w:rsidP="00E04D78">
            <w:pPr>
              <w:jc w:val="center"/>
              <w:rPr>
                <w:b/>
                <w:bCs/>
              </w:rPr>
            </w:pPr>
          </w:p>
        </w:tc>
        <w:tc>
          <w:tcPr>
            <w:tcW w:w="189" w:type="pct"/>
            <w:shd w:val="clear" w:color="auto" w:fill="auto"/>
            <w:vAlign w:val="center"/>
          </w:tcPr>
          <w:p w14:paraId="2F07BDBE" w14:textId="77777777" w:rsidR="002744DD" w:rsidRPr="0088618D" w:rsidRDefault="002744DD" w:rsidP="00E04D78">
            <w:pPr>
              <w:jc w:val="center"/>
              <w:rPr>
                <w:b/>
                <w:bCs/>
              </w:rPr>
            </w:pPr>
          </w:p>
        </w:tc>
      </w:tr>
      <w:tr w:rsidR="00B31B14" w:rsidRPr="00896A66" w14:paraId="33B5178A" w14:textId="77777777" w:rsidTr="0074275D">
        <w:tc>
          <w:tcPr>
            <w:tcW w:w="1660" w:type="pct"/>
            <w:vAlign w:val="center"/>
          </w:tcPr>
          <w:p w14:paraId="60384333" w14:textId="77777777" w:rsidR="00576405" w:rsidRPr="0088618D" w:rsidRDefault="00576405" w:rsidP="00E04D78">
            <w:pPr>
              <w:rPr>
                <w:b/>
                <w:bCs/>
              </w:rPr>
            </w:pPr>
            <w:r w:rsidRPr="0088618D">
              <w:rPr>
                <w:b/>
                <w:bCs/>
              </w:rPr>
              <w:t>Application Processing Timely</w:t>
            </w:r>
          </w:p>
        </w:tc>
        <w:tc>
          <w:tcPr>
            <w:tcW w:w="615" w:type="pct"/>
            <w:vAlign w:val="center"/>
          </w:tcPr>
          <w:p w14:paraId="6976E1A7" w14:textId="77777777" w:rsidR="00576405" w:rsidRPr="0088618D" w:rsidRDefault="00576405" w:rsidP="00E04D78">
            <w:pPr>
              <w:jc w:val="center"/>
              <w:rPr>
                <w:b/>
                <w:bCs/>
              </w:rPr>
            </w:pPr>
          </w:p>
        </w:tc>
        <w:tc>
          <w:tcPr>
            <w:tcW w:w="404" w:type="pct"/>
            <w:gridSpan w:val="2"/>
            <w:shd w:val="clear" w:color="auto" w:fill="auto"/>
            <w:vAlign w:val="center"/>
          </w:tcPr>
          <w:p w14:paraId="785EC32F" w14:textId="77777777" w:rsidR="00576405" w:rsidRPr="000549DA" w:rsidRDefault="00576405" w:rsidP="00E04D78">
            <w:pPr>
              <w:jc w:val="center"/>
              <w:rPr>
                <w:b/>
                <w:bCs/>
              </w:rPr>
            </w:pPr>
          </w:p>
        </w:tc>
        <w:tc>
          <w:tcPr>
            <w:tcW w:w="154" w:type="pct"/>
            <w:gridSpan w:val="2"/>
            <w:shd w:val="clear" w:color="auto" w:fill="auto"/>
            <w:vAlign w:val="center"/>
          </w:tcPr>
          <w:p w14:paraId="6672EC04" w14:textId="77777777" w:rsidR="00576405" w:rsidRPr="000549DA" w:rsidRDefault="00576405" w:rsidP="00E04D78">
            <w:pPr>
              <w:jc w:val="center"/>
              <w:rPr>
                <w:b/>
                <w:bCs/>
              </w:rPr>
            </w:pPr>
          </w:p>
        </w:tc>
        <w:tc>
          <w:tcPr>
            <w:tcW w:w="154" w:type="pct"/>
            <w:gridSpan w:val="2"/>
            <w:shd w:val="clear" w:color="auto" w:fill="auto"/>
            <w:vAlign w:val="center"/>
          </w:tcPr>
          <w:p w14:paraId="10BBB39D" w14:textId="35D062FB" w:rsidR="00576405" w:rsidRPr="000549DA" w:rsidRDefault="00576405" w:rsidP="00E04D78">
            <w:pPr>
              <w:jc w:val="center"/>
              <w:rPr>
                <w:b/>
                <w:bCs/>
              </w:rPr>
            </w:pPr>
          </w:p>
        </w:tc>
        <w:tc>
          <w:tcPr>
            <w:tcW w:w="157" w:type="pct"/>
            <w:gridSpan w:val="2"/>
            <w:shd w:val="clear" w:color="auto" w:fill="auto"/>
            <w:vAlign w:val="center"/>
          </w:tcPr>
          <w:p w14:paraId="0BE64FC0" w14:textId="53130B85" w:rsidR="00576405" w:rsidRPr="0088618D" w:rsidRDefault="00576405" w:rsidP="00E04D78">
            <w:pPr>
              <w:jc w:val="center"/>
              <w:rPr>
                <w:b/>
                <w:bCs/>
              </w:rPr>
            </w:pPr>
          </w:p>
        </w:tc>
        <w:tc>
          <w:tcPr>
            <w:tcW w:w="157" w:type="pct"/>
            <w:gridSpan w:val="2"/>
            <w:shd w:val="clear" w:color="auto" w:fill="F79646" w:themeFill="accent6"/>
            <w:vAlign w:val="center"/>
          </w:tcPr>
          <w:p w14:paraId="1D8E37B1" w14:textId="019E7502" w:rsidR="00576405" w:rsidRPr="0088618D" w:rsidRDefault="009B656B" w:rsidP="00E04D78">
            <w:pPr>
              <w:jc w:val="center"/>
              <w:rPr>
                <w:b/>
                <w:bCs/>
              </w:rPr>
            </w:pPr>
            <w:r w:rsidRPr="0088618D">
              <w:rPr>
                <w:b/>
                <w:bCs/>
              </w:rPr>
              <w:t>*</w:t>
            </w:r>
          </w:p>
        </w:tc>
        <w:tc>
          <w:tcPr>
            <w:tcW w:w="157" w:type="pct"/>
            <w:gridSpan w:val="2"/>
            <w:shd w:val="clear" w:color="auto" w:fill="auto"/>
            <w:vAlign w:val="center"/>
          </w:tcPr>
          <w:p w14:paraId="73FB4AF4" w14:textId="77777777" w:rsidR="00576405" w:rsidRPr="0088618D" w:rsidRDefault="00576405" w:rsidP="00E04D78">
            <w:pPr>
              <w:jc w:val="center"/>
              <w:rPr>
                <w:b/>
                <w:bCs/>
              </w:rPr>
            </w:pPr>
          </w:p>
        </w:tc>
        <w:tc>
          <w:tcPr>
            <w:tcW w:w="157" w:type="pct"/>
            <w:gridSpan w:val="2"/>
            <w:shd w:val="clear" w:color="auto" w:fill="auto"/>
            <w:vAlign w:val="center"/>
          </w:tcPr>
          <w:p w14:paraId="0A7761B0" w14:textId="703D9F8F" w:rsidR="00576405" w:rsidRPr="0088618D" w:rsidRDefault="00576405" w:rsidP="00E04D78">
            <w:pPr>
              <w:jc w:val="center"/>
              <w:rPr>
                <w:b/>
                <w:bCs/>
              </w:rPr>
            </w:pPr>
          </w:p>
        </w:tc>
        <w:tc>
          <w:tcPr>
            <w:tcW w:w="157" w:type="pct"/>
            <w:gridSpan w:val="2"/>
            <w:shd w:val="clear" w:color="auto" w:fill="auto"/>
            <w:vAlign w:val="center"/>
          </w:tcPr>
          <w:p w14:paraId="20EB57E9" w14:textId="77777777" w:rsidR="00576405" w:rsidRPr="0088618D" w:rsidRDefault="00576405" w:rsidP="00E04D78">
            <w:pPr>
              <w:jc w:val="center"/>
              <w:rPr>
                <w:b/>
                <w:bCs/>
              </w:rPr>
            </w:pPr>
          </w:p>
        </w:tc>
        <w:tc>
          <w:tcPr>
            <w:tcW w:w="157" w:type="pct"/>
            <w:gridSpan w:val="2"/>
            <w:shd w:val="clear" w:color="auto" w:fill="auto"/>
            <w:vAlign w:val="center"/>
          </w:tcPr>
          <w:p w14:paraId="7F98373E" w14:textId="77777777" w:rsidR="00576405" w:rsidRPr="0088618D" w:rsidRDefault="00576405" w:rsidP="00E04D78">
            <w:pPr>
              <w:jc w:val="center"/>
              <w:rPr>
                <w:b/>
                <w:bCs/>
              </w:rPr>
            </w:pPr>
          </w:p>
        </w:tc>
        <w:tc>
          <w:tcPr>
            <w:tcW w:w="157" w:type="pct"/>
            <w:gridSpan w:val="2"/>
            <w:shd w:val="clear" w:color="auto" w:fill="auto"/>
            <w:vAlign w:val="center"/>
          </w:tcPr>
          <w:p w14:paraId="0D8C4F2C" w14:textId="77777777" w:rsidR="00576405" w:rsidRPr="0088618D" w:rsidRDefault="00576405" w:rsidP="00E04D78">
            <w:pPr>
              <w:jc w:val="center"/>
              <w:rPr>
                <w:b/>
                <w:bCs/>
              </w:rPr>
            </w:pPr>
          </w:p>
        </w:tc>
        <w:tc>
          <w:tcPr>
            <w:tcW w:w="189" w:type="pct"/>
            <w:gridSpan w:val="2"/>
            <w:shd w:val="clear" w:color="auto" w:fill="auto"/>
            <w:vAlign w:val="center"/>
          </w:tcPr>
          <w:p w14:paraId="5AC5F205" w14:textId="77777777" w:rsidR="00576405" w:rsidRPr="0088618D" w:rsidRDefault="00576405" w:rsidP="00E04D78">
            <w:pPr>
              <w:jc w:val="center"/>
              <w:rPr>
                <w:b/>
                <w:bCs/>
              </w:rPr>
            </w:pPr>
          </w:p>
        </w:tc>
        <w:tc>
          <w:tcPr>
            <w:tcW w:w="184" w:type="pct"/>
            <w:shd w:val="clear" w:color="auto" w:fill="auto"/>
            <w:vAlign w:val="center"/>
          </w:tcPr>
          <w:p w14:paraId="76E29C01" w14:textId="77777777" w:rsidR="00576405" w:rsidRPr="0088618D" w:rsidRDefault="00576405" w:rsidP="00E04D78">
            <w:pPr>
              <w:jc w:val="center"/>
              <w:rPr>
                <w:b/>
                <w:bCs/>
              </w:rPr>
            </w:pPr>
          </w:p>
        </w:tc>
        <w:tc>
          <w:tcPr>
            <w:tcW w:w="163" w:type="pct"/>
            <w:gridSpan w:val="2"/>
            <w:shd w:val="clear" w:color="auto" w:fill="auto"/>
            <w:vAlign w:val="center"/>
          </w:tcPr>
          <w:p w14:paraId="6E87CBAB" w14:textId="77777777" w:rsidR="00576405" w:rsidRPr="0088618D" w:rsidRDefault="00576405" w:rsidP="00E04D78">
            <w:pPr>
              <w:jc w:val="center"/>
              <w:rPr>
                <w:b/>
                <w:bCs/>
              </w:rPr>
            </w:pPr>
          </w:p>
        </w:tc>
        <w:tc>
          <w:tcPr>
            <w:tcW w:w="189" w:type="pct"/>
            <w:gridSpan w:val="2"/>
            <w:shd w:val="clear" w:color="auto" w:fill="auto"/>
            <w:vAlign w:val="center"/>
          </w:tcPr>
          <w:p w14:paraId="6A9D6251" w14:textId="77777777" w:rsidR="00576405" w:rsidRPr="0088618D" w:rsidRDefault="00576405" w:rsidP="00E04D78">
            <w:pPr>
              <w:jc w:val="center"/>
              <w:rPr>
                <w:b/>
                <w:bCs/>
              </w:rPr>
            </w:pPr>
          </w:p>
        </w:tc>
        <w:tc>
          <w:tcPr>
            <w:tcW w:w="189" w:type="pct"/>
            <w:shd w:val="clear" w:color="auto" w:fill="auto"/>
            <w:vAlign w:val="center"/>
          </w:tcPr>
          <w:p w14:paraId="32D1BFBA" w14:textId="77777777" w:rsidR="00576405" w:rsidRPr="0088618D" w:rsidRDefault="00576405" w:rsidP="00E04D78">
            <w:pPr>
              <w:jc w:val="center"/>
              <w:rPr>
                <w:b/>
                <w:bCs/>
              </w:rPr>
            </w:pPr>
          </w:p>
        </w:tc>
      </w:tr>
      <w:tr w:rsidR="00B31B14" w:rsidRPr="00896A66" w14:paraId="76DA5232" w14:textId="77777777" w:rsidTr="0074275D">
        <w:tc>
          <w:tcPr>
            <w:tcW w:w="1660" w:type="pct"/>
            <w:vAlign w:val="center"/>
          </w:tcPr>
          <w:p w14:paraId="4554E239" w14:textId="60AB8035" w:rsidR="00576405" w:rsidRPr="0088618D" w:rsidRDefault="00576405" w:rsidP="001078F3">
            <w:r w:rsidRPr="0088618D">
              <w:rPr>
                <w:b/>
                <w:bCs/>
              </w:rPr>
              <w:t xml:space="preserve">Renewals </w:t>
            </w:r>
            <w:r w:rsidR="002744DD">
              <w:rPr>
                <w:b/>
                <w:bCs/>
              </w:rPr>
              <w:t>Initiated</w:t>
            </w:r>
          </w:p>
        </w:tc>
        <w:tc>
          <w:tcPr>
            <w:tcW w:w="615" w:type="pct"/>
            <w:vAlign w:val="center"/>
          </w:tcPr>
          <w:p w14:paraId="64777D6C" w14:textId="77777777" w:rsidR="00576405" w:rsidRPr="0088618D" w:rsidRDefault="00576405" w:rsidP="001078F3">
            <w:pPr>
              <w:jc w:val="center"/>
              <w:rPr>
                <w:b/>
                <w:bCs/>
              </w:rPr>
            </w:pPr>
          </w:p>
        </w:tc>
        <w:tc>
          <w:tcPr>
            <w:tcW w:w="404" w:type="pct"/>
            <w:gridSpan w:val="2"/>
            <w:shd w:val="clear" w:color="auto" w:fill="auto"/>
            <w:vAlign w:val="center"/>
          </w:tcPr>
          <w:p w14:paraId="3E8B6A1B" w14:textId="77777777" w:rsidR="00576405" w:rsidRPr="000549DA" w:rsidRDefault="00576405" w:rsidP="001078F3">
            <w:pPr>
              <w:jc w:val="center"/>
              <w:rPr>
                <w:b/>
                <w:bCs/>
              </w:rPr>
            </w:pPr>
          </w:p>
        </w:tc>
        <w:tc>
          <w:tcPr>
            <w:tcW w:w="154" w:type="pct"/>
            <w:gridSpan w:val="2"/>
            <w:shd w:val="clear" w:color="auto" w:fill="auto"/>
            <w:vAlign w:val="center"/>
          </w:tcPr>
          <w:p w14:paraId="05726361" w14:textId="77777777" w:rsidR="00576405" w:rsidRPr="000549DA" w:rsidRDefault="00576405" w:rsidP="001078F3">
            <w:pPr>
              <w:jc w:val="center"/>
              <w:rPr>
                <w:b/>
                <w:bCs/>
              </w:rPr>
            </w:pPr>
          </w:p>
        </w:tc>
        <w:tc>
          <w:tcPr>
            <w:tcW w:w="154" w:type="pct"/>
            <w:gridSpan w:val="2"/>
            <w:shd w:val="clear" w:color="auto" w:fill="auto"/>
            <w:vAlign w:val="center"/>
          </w:tcPr>
          <w:p w14:paraId="57137478" w14:textId="36F3B59F" w:rsidR="00576405" w:rsidRPr="000549DA" w:rsidRDefault="00576405" w:rsidP="001078F3">
            <w:pPr>
              <w:jc w:val="center"/>
              <w:rPr>
                <w:b/>
                <w:bCs/>
              </w:rPr>
            </w:pPr>
          </w:p>
        </w:tc>
        <w:tc>
          <w:tcPr>
            <w:tcW w:w="157" w:type="pct"/>
            <w:gridSpan w:val="2"/>
            <w:vAlign w:val="center"/>
          </w:tcPr>
          <w:p w14:paraId="20681070" w14:textId="77777777" w:rsidR="00576405" w:rsidRPr="0088618D" w:rsidRDefault="00576405" w:rsidP="001078F3">
            <w:pPr>
              <w:jc w:val="center"/>
              <w:rPr>
                <w:b/>
                <w:bCs/>
              </w:rPr>
            </w:pPr>
          </w:p>
        </w:tc>
        <w:tc>
          <w:tcPr>
            <w:tcW w:w="157" w:type="pct"/>
            <w:gridSpan w:val="2"/>
            <w:vAlign w:val="center"/>
          </w:tcPr>
          <w:p w14:paraId="534B614B" w14:textId="77777777" w:rsidR="00576405" w:rsidRPr="0088618D" w:rsidRDefault="00576405" w:rsidP="001078F3">
            <w:pPr>
              <w:jc w:val="center"/>
              <w:rPr>
                <w:b/>
                <w:bCs/>
              </w:rPr>
            </w:pPr>
          </w:p>
        </w:tc>
        <w:tc>
          <w:tcPr>
            <w:tcW w:w="157" w:type="pct"/>
            <w:gridSpan w:val="2"/>
            <w:vAlign w:val="center"/>
          </w:tcPr>
          <w:p w14:paraId="0DE05477" w14:textId="77777777" w:rsidR="00576405" w:rsidRPr="0088618D" w:rsidRDefault="00576405" w:rsidP="001078F3">
            <w:pPr>
              <w:jc w:val="center"/>
              <w:rPr>
                <w:b/>
                <w:bCs/>
              </w:rPr>
            </w:pPr>
          </w:p>
        </w:tc>
        <w:tc>
          <w:tcPr>
            <w:tcW w:w="157" w:type="pct"/>
            <w:gridSpan w:val="2"/>
            <w:shd w:val="clear" w:color="auto" w:fill="auto"/>
            <w:vAlign w:val="center"/>
          </w:tcPr>
          <w:p w14:paraId="72150104" w14:textId="77777777" w:rsidR="00576405" w:rsidRPr="0088618D" w:rsidRDefault="00576405" w:rsidP="001078F3">
            <w:pPr>
              <w:jc w:val="center"/>
              <w:rPr>
                <w:b/>
                <w:bCs/>
              </w:rPr>
            </w:pPr>
          </w:p>
        </w:tc>
        <w:tc>
          <w:tcPr>
            <w:tcW w:w="157" w:type="pct"/>
            <w:gridSpan w:val="2"/>
            <w:vAlign w:val="center"/>
          </w:tcPr>
          <w:p w14:paraId="2AD4E19A" w14:textId="77777777" w:rsidR="00576405" w:rsidRPr="0088618D" w:rsidRDefault="00576405" w:rsidP="001078F3">
            <w:pPr>
              <w:jc w:val="center"/>
              <w:rPr>
                <w:b/>
                <w:bCs/>
              </w:rPr>
            </w:pPr>
          </w:p>
        </w:tc>
        <w:tc>
          <w:tcPr>
            <w:tcW w:w="157" w:type="pct"/>
            <w:gridSpan w:val="2"/>
            <w:vAlign w:val="center"/>
          </w:tcPr>
          <w:p w14:paraId="43DFA132" w14:textId="77777777" w:rsidR="00576405" w:rsidRPr="0088618D" w:rsidRDefault="00576405" w:rsidP="001078F3">
            <w:pPr>
              <w:jc w:val="center"/>
              <w:rPr>
                <w:b/>
                <w:bCs/>
              </w:rPr>
            </w:pPr>
          </w:p>
        </w:tc>
        <w:tc>
          <w:tcPr>
            <w:tcW w:w="157" w:type="pct"/>
            <w:gridSpan w:val="2"/>
            <w:vAlign w:val="center"/>
          </w:tcPr>
          <w:p w14:paraId="7537C33E" w14:textId="77777777" w:rsidR="00576405" w:rsidRPr="0088618D" w:rsidRDefault="00576405" w:rsidP="001078F3">
            <w:pPr>
              <w:jc w:val="center"/>
              <w:rPr>
                <w:b/>
                <w:bCs/>
              </w:rPr>
            </w:pPr>
          </w:p>
        </w:tc>
        <w:tc>
          <w:tcPr>
            <w:tcW w:w="189" w:type="pct"/>
            <w:gridSpan w:val="2"/>
            <w:vAlign w:val="center"/>
          </w:tcPr>
          <w:p w14:paraId="774A17AF" w14:textId="77777777" w:rsidR="00576405" w:rsidRPr="0088618D" w:rsidRDefault="00576405" w:rsidP="001078F3">
            <w:pPr>
              <w:jc w:val="center"/>
              <w:rPr>
                <w:b/>
                <w:bCs/>
              </w:rPr>
            </w:pPr>
          </w:p>
        </w:tc>
        <w:tc>
          <w:tcPr>
            <w:tcW w:w="184" w:type="pct"/>
            <w:vAlign w:val="center"/>
          </w:tcPr>
          <w:p w14:paraId="707B7FA5" w14:textId="77777777" w:rsidR="00576405" w:rsidRPr="0088618D" w:rsidRDefault="00576405" w:rsidP="001078F3">
            <w:pPr>
              <w:jc w:val="center"/>
              <w:rPr>
                <w:b/>
                <w:bCs/>
              </w:rPr>
            </w:pPr>
          </w:p>
        </w:tc>
        <w:tc>
          <w:tcPr>
            <w:tcW w:w="163" w:type="pct"/>
            <w:gridSpan w:val="2"/>
            <w:shd w:val="clear" w:color="auto" w:fill="F79646" w:themeFill="accent6"/>
            <w:vAlign w:val="center"/>
          </w:tcPr>
          <w:p w14:paraId="4CDCCC82" w14:textId="576F6E55" w:rsidR="00576405" w:rsidRPr="0088618D" w:rsidRDefault="00373BB7" w:rsidP="001078F3">
            <w:pPr>
              <w:jc w:val="center"/>
              <w:rPr>
                <w:b/>
                <w:bCs/>
              </w:rPr>
            </w:pPr>
            <w:r w:rsidRPr="0088618D">
              <w:rPr>
                <w:b/>
                <w:bCs/>
              </w:rPr>
              <w:t>*</w:t>
            </w:r>
          </w:p>
        </w:tc>
        <w:tc>
          <w:tcPr>
            <w:tcW w:w="189" w:type="pct"/>
            <w:gridSpan w:val="2"/>
            <w:vAlign w:val="center"/>
          </w:tcPr>
          <w:p w14:paraId="4D9E82E6" w14:textId="77777777" w:rsidR="00576405" w:rsidRPr="0088618D" w:rsidRDefault="00576405" w:rsidP="001078F3">
            <w:pPr>
              <w:jc w:val="center"/>
              <w:rPr>
                <w:b/>
                <w:bCs/>
              </w:rPr>
            </w:pPr>
          </w:p>
        </w:tc>
        <w:tc>
          <w:tcPr>
            <w:tcW w:w="189" w:type="pct"/>
            <w:shd w:val="clear" w:color="auto" w:fill="auto"/>
            <w:vAlign w:val="center"/>
          </w:tcPr>
          <w:p w14:paraId="55108C11" w14:textId="071F1B93" w:rsidR="00576405" w:rsidRPr="0088618D" w:rsidRDefault="00576405" w:rsidP="001078F3">
            <w:pPr>
              <w:jc w:val="center"/>
              <w:rPr>
                <w:b/>
                <w:bCs/>
              </w:rPr>
            </w:pPr>
          </w:p>
        </w:tc>
      </w:tr>
      <w:tr w:rsidR="00B31B14" w:rsidRPr="00896A66" w14:paraId="321E01A0" w14:textId="77777777" w:rsidTr="0074275D">
        <w:tc>
          <w:tcPr>
            <w:tcW w:w="1660" w:type="pct"/>
            <w:vAlign w:val="center"/>
          </w:tcPr>
          <w:p w14:paraId="29058E6C" w14:textId="6068C566" w:rsidR="002744DD" w:rsidRPr="0088618D" w:rsidRDefault="002744DD" w:rsidP="001078F3">
            <w:pPr>
              <w:rPr>
                <w:b/>
                <w:bCs/>
              </w:rPr>
            </w:pPr>
            <w:r w:rsidRPr="0088618D">
              <w:rPr>
                <w:b/>
                <w:bCs/>
              </w:rPr>
              <w:t>Renewal</w:t>
            </w:r>
            <w:r>
              <w:rPr>
                <w:b/>
                <w:bCs/>
              </w:rPr>
              <w:t>s</w:t>
            </w:r>
            <w:r w:rsidRPr="0088618D">
              <w:rPr>
                <w:b/>
                <w:bCs/>
              </w:rPr>
              <w:t xml:space="preserve"> </w:t>
            </w:r>
            <w:r w:rsidR="00FF2BAE">
              <w:rPr>
                <w:b/>
                <w:bCs/>
              </w:rPr>
              <w:t>Complete</w:t>
            </w:r>
            <w:r w:rsidR="007650B4">
              <w:rPr>
                <w:b/>
                <w:bCs/>
              </w:rPr>
              <w:t>d</w:t>
            </w:r>
          </w:p>
        </w:tc>
        <w:tc>
          <w:tcPr>
            <w:tcW w:w="615" w:type="pct"/>
            <w:vAlign w:val="center"/>
          </w:tcPr>
          <w:p w14:paraId="55358B4B" w14:textId="77777777" w:rsidR="002744DD" w:rsidRPr="0088618D" w:rsidRDefault="002744DD" w:rsidP="001078F3">
            <w:pPr>
              <w:jc w:val="center"/>
              <w:rPr>
                <w:b/>
                <w:bCs/>
              </w:rPr>
            </w:pPr>
          </w:p>
        </w:tc>
        <w:tc>
          <w:tcPr>
            <w:tcW w:w="404" w:type="pct"/>
            <w:gridSpan w:val="2"/>
            <w:shd w:val="clear" w:color="auto" w:fill="auto"/>
            <w:vAlign w:val="center"/>
          </w:tcPr>
          <w:p w14:paraId="022D8FB8" w14:textId="77777777" w:rsidR="002744DD" w:rsidRPr="000549DA" w:rsidRDefault="002744DD" w:rsidP="001078F3">
            <w:pPr>
              <w:jc w:val="center"/>
              <w:rPr>
                <w:b/>
                <w:bCs/>
              </w:rPr>
            </w:pPr>
          </w:p>
        </w:tc>
        <w:tc>
          <w:tcPr>
            <w:tcW w:w="154" w:type="pct"/>
            <w:gridSpan w:val="2"/>
            <w:shd w:val="clear" w:color="auto" w:fill="auto"/>
            <w:vAlign w:val="center"/>
          </w:tcPr>
          <w:p w14:paraId="28EF46A9" w14:textId="77777777" w:rsidR="002744DD" w:rsidRPr="000549DA" w:rsidRDefault="002744DD" w:rsidP="001078F3">
            <w:pPr>
              <w:jc w:val="center"/>
              <w:rPr>
                <w:b/>
                <w:bCs/>
              </w:rPr>
            </w:pPr>
          </w:p>
        </w:tc>
        <w:tc>
          <w:tcPr>
            <w:tcW w:w="154" w:type="pct"/>
            <w:gridSpan w:val="2"/>
            <w:shd w:val="clear" w:color="auto" w:fill="auto"/>
            <w:vAlign w:val="center"/>
          </w:tcPr>
          <w:p w14:paraId="7E767971" w14:textId="77777777" w:rsidR="002744DD" w:rsidRPr="000549DA" w:rsidRDefault="002744DD" w:rsidP="001078F3">
            <w:pPr>
              <w:jc w:val="center"/>
              <w:rPr>
                <w:b/>
                <w:bCs/>
              </w:rPr>
            </w:pPr>
          </w:p>
        </w:tc>
        <w:tc>
          <w:tcPr>
            <w:tcW w:w="157" w:type="pct"/>
            <w:gridSpan w:val="2"/>
            <w:vAlign w:val="center"/>
          </w:tcPr>
          <w:p w14:paraId="221DCFCD" w14:textId="77777777" w:rsidR="002744DD" w:rsidRPr="0088618D" w:rsidRDefault="002744DD" w:rsidP="001078F3">
            <w:pPr>
              <w:jc w:val="center"/>
              <w:rPr>
                <w:b/>
                <w:bCs/>
              </w:rPr>
            </w:pPr>
          </w:p>
        </w:tc>
        <w:tc>
          <w:tcPr>
            <w:tcW w:w="157" w:type="pct"/>
            <w:gridSpan w:val="2"/>
            <w:vAlign w:val="center"/>
          </w:tcPr>
          <w:p w14:paraId="6CB9A6BD" w14:textId="77777777" w:rsidR="002744DD" w:rsidRPr="0088618D" w:rsidRDefault="002744DD" w:rsidP="001078F3">
            <w:pPr>
              <w:jc w:val="center"/>
              <w:rPr>
                <w:b/>
                <w:bCs/>
              </w:rPr>
            </w:pPr>
          </w:p>
        </w:tc>
        <w:tc>
          <w:tcPr>
            <w:tcW w:w="157" w:type="pct"/>
            <w:gridSpan w:val="2"/>
            <w:vAlign w:val="center"/>
          </w:tcPr>
          <w:p w14:paraId="293E9480" w14:textId="77777777" w:rsidR="002744DD" w:rsidRPr="0088618D" w:rsidRDefault="002744DD" w:rsidP="001078F3">
            <w:pPr>
              <w:jc w:val="center"/>
              <w:rPr>
                <w:b/>
                <w:bCs/>
              </w:rPr>
            </w:pPr>
          </w:p>
        </w:tc>
        <w:tc>
          <w:tcPr>
            <w:tcW w:w="157" w:type="pct"/>
            <w:gridSpan w:val="2"/>
            <w:shd w:val="clear" w:color="auto" w:fill="auto"/>
            <w:vAlign w:val="center"/>
          </w:tcPr>
          <w:p w14:paraId="60D3C572" w14:textId="77777777" w:rsidR="002744DD" w:rsidRPr="0088618D" w:rsidRDefault="002744DD" w:rsidP="001078F3">
            <w:pPr>
              <w:jc w:val="center"/>
              <w:rPr>
                <w:b/>
                <w:bCs/>
              </w:rPr>
            </w:pPr>
          </w:p>
        </w:tc>
        <w:tc>
          <w:tcPr>
            <w:tcW w:w="157" w:type="pct"/>
            <w:gridSpan w:val="2"/>
            <w:vAlign w:val="center"/>
          </w:tcPr>
          <w:p w14:paraId="374A832D" w14:textId="77777777" w:rsidR="002744DD" w:rsidRPr="0088618D" w:rsidRDefault="002744DD" w:rsidP="001078F3">
            <w:pPr>
              <w:jc w:val="center"/>
              <w:rPr>
                <w:b/>
                <w:bCs/>
              </w:rPr>
            </w:pPr>
          </w:p>
        </w:tc>
        <w:tc>
          <w:tcPr>
            <w:tcW w:w="157" w:type="pct"/>
            <w:gridSpan w:val="2"/>
            <w:vAlign w:val="center"/>
          </w:tcPr>
          <w:p w14:paraId="40972A3E" w14:textId="77777777" w:rsidR="002744DD" w:rsidRPr="0088618D" w:rsidRDefault="002744DD" w:rsidP="001078F3">
            <w:pPr>
              <w:jc w:val="center"/>
              <w:rPr>
                <w:b/>
                <w:bCs/>
              </w:rPr>
            </w:pPr>
          </w:p>
        </w:tc>
        <w:tc>
          <w:tcPr>
            <w:tcW w:w="157" w:type="pct"/>
            <w:gridSpan w:val="2"/>
            <w:vAlign w:val="center"/>
          </w:tcPr>
          <w:p w14:paraId="023C5EA6" w14:textId="77777777" w:rsidR="002744DD" w:rsidRPr="0088618D" w:rsidRDefault="002744DD" w:rsidP="001078F3">
            <w:pPr>
              <w:jc w:val="center"/>
              <w:rPr>
                <w:b/>
                <w:bCs/>
              </w:rPr>
            </w:pPr>
          </w:p>
        </w:tc>
        <w:tc>
          <w:tcPr>
            <w:tcW w:w="189" w:type="pct"/>
            <w:gridSpan w:val="2"/>
            <w:vAlign w:val="center"/>
          </w:tcPr>
          <w:p w14:paraId="6107BCC7" w14:textId="77777777" w:rsidR="002744DD" w:rsidRPr="0088618D" w:rsidRDefault="002744DD" w:rsidP="001078F3">
            <w:pPr>
              <w:jc w:val="center"/>
              <w:rPr>
                <w:b/>
                <w:bCs/>
              </w:rPr>
            </w:pPr>
          </w:p>
        </w:tc>
        <w:tc>
          <w:tcPr>
            <w:tcW w:w="184" w:type="pct"/>
            <w:vAlign w:val="center"/>
          </w:tcPr>
          <w:p w14:paraId="00E1FA29" w14:textId="77777777" w:rsidR="002744DD" w:rsidRPr="0088618D" w:rsidRDefault="002744DD" w:rsidP="001078F3">
            <w:pPr>
              <w:jc w:val="center"/>
              <w:rPr>
                <w:b/>
                <w:bCs/>
              </w:rPr>
            </w:pPr>
          </w:p>
        </w:tc>
        <w:tc>
          <w:tcPr>
            <w:tcW w:w="163" w:type="pct"/>
            <w:gridSpan w:val="2"/>
            <w:shd w:val="clear" w:color="auto" w:fill="auto"/>
            <w:vAlign w:val="center"/>
          </w:tcPr>
          <w:p w14:paraId="7846B588" w14:textId="77777777" w:rsidR="002744DD" w:rsidRPr="0088618D" w:rsidRDefault="002744DD" w:rsidP="001078F3">
            <w:pPr>
              <w:jc w:val="center"/>
              <w:rPr>
                <w:b/>
                <w:bCs/>
              </w:rPr>
            </w:pPr>
          </w:p>
        </w:tc>
        <w:tc>
          <w:tcPr>
            <w:tcW w:w="189" w:type="pct"/>
            <w:gridSpan w:val="2"/>
            <w:vAlign w:val="center"/>
          </w:tcPr>
          <w:p w14:paraId="4BAF1CEA" w14:textId="77777777" w:rsidR="002744DD" w:rsidRPr="0088618D" w:rsidRDefault="002744DD" w:rsidP="001078F3">
            <w:pPr>
              <w:jc w:val="center"/>
              <w:rPr>
                <w:b/>
                <w:bCs/>
              </w:rPr>
            </w:pPr>
          </w:p>
        </w:tc>
        <w:tc>
          <w:tcPr>
            <w:tcW w:w="189" w:type="pct"/>
            <w:shd w:val="clear" w:color="auto" w:fill="F79646" w:themeFill="accent6"/>
            <w:vAlign w:val="center"/>
          </w:tcPr>
          <w:p w14:paraId="17F521CA" w14:textId="13C0470B" w:rsidR="002744DD" w:rsidRPr="0088618D" w:rsidRDefault="002744DD" w:rsidP="001078F3">
            <w:pPr>
              <w:jc w:val="center"/>
              <w:rPr>
                <w:b/>
                <w:bCs/>
              </w:rPr>
            </w:pPr>
            <w:r>
              <w:rPr>
                <w:b/>
                <w:bCs/>
              </w:rPr>
              <w:t>*</w:t>
            </w:r>
          </w:p>
        </w:tc>
      </w:tr>
      <w:tr w:rsidR="00A50A73" w:rsidRPr="00896A66" w14:paraId="40ADF89F" w14:textId="77777777" w:rsidTr="0074275D">
        <w:tc>
          <w:tcPr>
            <w:tcW w:w="5000" w:type="pct"/>
            <w:gridSpan w:val="30"/>
            <w:shd w:val="clear" w:color="auto" w:fill="C6D9F1" w:themeFill="text2" w:themeFillTint="33"/>
          </w:tcPr>
          <w:p w14:paraId="1F77596A" w14:textId="77777777" w:rsidR="00A50A73" w:rsidRPr="0088618D" w:rsidRDefault="00A50A73" w:rsidP="00E04D78">
            <w:pPr>
              <w:jc w:val="center"/>
              <w:rPr>
                <w:b/>
                <w:bCs/>
              </w:rPr>
            </w:pPr>
            <w:r w:rsidRPr="0088618D">
              <w:rPr>
                <w:b/>
                <w:bCs/>
              </w:rPr>
              <w:t>Key Activities</w:t>
            </w:r>
          </w:p>
        </w:tc>
      </w:tr>
      <w:tr w:rsidR="00836643" w:rsidRPr="00896A66" w14:paraId="28F160D6" w14:textId="77777777" w:rsidTr="0074275D">
        <w:tc>
          <w:tcPr>
            <w:tcW w:w="5000" w:type="pct"/>
            <w:gridSpan w:val="30"/>
            <w:shd w:val="clear" w:color="auto" w:fill="D9D9D9" w:themeFill="background1" w:themeFillShade="D9"/>
          </w:tcPr>
          <w:p w14:paraId="6D27BFAE" w14:textId="258AC876" w:rsidR="00836643" w:rsidRPr="0088618D" w:rsidRDefault="00836643" w:rsidP="00E04D78">
            <w:pPr>
              <w:rPr>
                <w:i/>
                <w:iCs/>
              </w:rPr>
            </w:pPr>
            <w:r w:rsidRPr="0088618D">
              <w:rPr>
                <w:b/>
                <w:bCs/>
                <w:i/>
                <w:iCs/>
              </w:rPr>
              <w:t>Planning</w:t>
            </w:r>
          </w:p>
        </w:tc>
      </w:tr>
      <w:tr w:rsidR="00B31B14" w:rsidRPr="00896A66" w14:paraId="62AE83F0" w14:textId="77777777" w:rsidTr="0074275D">
        <w:tc>
          <w:tcPr>
            <w:tcW w:w="1660" w:type="pct"/>
          </w:tcPr>
          <w:p w14:paraId="4F1CB780" w14:textId="77777777" w:rsidR="00B65B19" w:rsidRPr="0088618D" w:rsidRDefault="00B65B19" w:rsidP="00E04D78">
            <w:r w:rsidRPr="0088618D">
              <w:rPr>
                <w:color w:val="4F81BD" w:themeColor="accent1"/>
              </w:rPr>
              <w:t>[Enter text]</w:t>
            </w:r>
          </w:p>
        </w:tc>
        <w:tc>
          <w:tcPr>
            <w:tcW w:w="615" w:type="pct"/>
          </w:tcPr>
          <w:p w14:paraId="1BB88776" w14:textId="77777777" w:rsidR="00B65B19" w:rsidRPr="0088618D" w:rsidRDefault="00B65B19" w:rsidP="00E04D78">
            <w:pPr>
              <w:jc w:val="center"/>
            </w:pPr>
          </w:p>
        </w:tc>
        <w:tc>
          <w:tcPr>
            <w:tcW w:w="400" w:type="pct"/>
          </w:tcPr>
          <w:p w14:paraId="14790DB5" w14:textId="77777777" w:rsidR="00B65B19" w:rsidRPr="000549DA" w:rsidRDefault="00B65B19" w:rsidP="00E04D78">
            <w:pPr>
              <w:jc w:val="center"/>
            </w:pPr>
          </w:p>
        </w:tc>
        <w:tc>
          <w:tcPr>
            <w:tcW w:w="155" w:type="pct"/>
            <w:gridSpan w:val="2"/>
          </w:tcPr>
          <w:p w14:paraId="030F9C58" w14:textId="77777777" w:rsidR="00B65B19" w:rsidRPr="000549DA" w:rsidRDefault="00B65B19" w:rsidP="00E04D78">
            <w:pPr>
              <w:jc w:val="center"/>
            </w:pPr>
          </w:p>
        </w:tc>
        <w:tc>
          <w:tcPr>
            <w:tcW w:w="154" w:type="pct"/>
            <w:gridSpan w:val="2"/>
          </w:tcPr>
          <w:p w14:paraId="11318B2B" w14:textId="5AA559F6" w:rsidR="00B65B19" w:rsidRPr="000549DA" w:rsidRDefault="00B65B19" w:rsidP="00E04D78">
            <w:pPr>
              <w:jc w:val="center"/>
            </w:pPr>
          </w:p>
        </w:tc>
        <w:tc>
          <w:tcPr>
            <w:tcW w:w="157" w:type="pct"/>
            <w:gridSpan w:val="2"/>
          </w:tcPr>
          <w:p w14:paraId="34B4A72B" w14:textId="77777777" w:rsidR="00B65B19" w:rsidRPr="0088618D" w:rsidRDefault="00B65B19" w:rsidP="00E04D78">
            <w:pPr>
              <w:jc w:val="center"/>
            </w:pPr>
          </w:p>
        </w:tc>
        <w:tc>
          <w:tcPr>
            <w:tcW w:w="157" w:type="pct"/>
            <w:gridSpan w:val="2"/>
          </w:tcPr>
          <w:p w14:paraId="117DFF74" w14:textId="77777777" w:rsidR="00B65B19" w:rsidRPr="0088618D" w:rsidRDefault="00B65B19" w:rsidP="00E04D78">
            <w:pPr>
              <w:jc w:val="center"/>
            </w:pPr>
          </w:p>
        </w:tc>
        <w:tc>
          <w:tcPr>
            <w:tcW w:w="157" w:type="pct"/>
            <w:gridSpan w:val="2"/>
          </w:tcPr>
          <w:p w14:paraId="29BDCF06" w14:textId="77777777" w:rsidR="00B65B19" w:rsidRPr="0088618D" w:rsidRDefault="00B65B19" w:rsidP="00E04D78">
            <w:pPr>
              <w:jc w:val="center"/>
            </w:pPr>
          </w:p>
        </w:tc>
        <w:tc>
          <w:tcPr>
            <w:tcW w:w="157" w:type="pct"/>
            <w:gridSpan w:val="2"/>
          </w:tcPr>
          <w:p w14:paraId="71BBD066" w14:textId="77777777" w:rsidR="00B65B19" w:rsidRPr="0088618D" w:rsidRDefault="00B65B19" w:rsidP="00E04D78">
            <w:pPr>
              <w:jc w:val="center"/>
            </w:pPr>
          </w:p>
        </w:tc>
        <w:tc>
          <w:tcPr>
            <w:tcW w:w="157" w:type="pct"/>
            <w:gridSpan w:val="2"/>
          </w:tcPr>
          <w:p w14:paraId="4D36D43C" w14:textId="77777777" w:rsidR="00B65B19" w:rsidRPr="0088618D" w:rsidRDefault="00B65B19" w:rsidP="00E04D78">
            <w:pPr>
              <w:jc w:val="center"/>
            </w:pPr>
          </w:p>
        </w:tc>
        <w:tc>
          <w:tcPr>
            <w:tcW w:w="157" w:type="pct"/>
            <w:gridSpan w:val="2"/>
          </w:tcPr>
          <w:p w14:paraId="4B78F350" w14:textId="77777777" w:rsidR="00B65B19" w:rsidRPr="0088618D" w:rsidRDefault="00B65B19" w:rsidP="00E04D78">
            <w:pPr>
              <w:jc w:val="center"/>
            </w:pPr>
          </w:p>
        </w:tc>
        <w:tc>
          <w:tcPr>
            <w:tcW w:w="157" w:type="pct"/>
            <w:gridSpan w:val="2"/>
          </w:tcPr>
          <w:p w14:paraId="7A1B2504" w14:textId="77777777" w:rsidR="00B65B19" w:rsidRPr="0088618D" w:rsidRDefault="00B65B19" w:rsidP="00E04D78">
            <w:pPr>
              <w:jc w:val="center"/>
            </w:pPr>
          </w:p>
        </w:tc>
        <w:tc>
          <w:tcPr>
            <w:tcW w:w="188" w:type="pct"/>
            <w:gridSpan w:val="2"/>
          </w:tcPr>
          <w:p w14:paraId="7E680C4D" w14:textId="77777777" w:rsidR="00B65B19" w:rsidRPr="0088618D" w:rsidRDefault="00B65B19" w:rsidP="00E04D78">
            <w:pPr>
              <w:jc w:val="center"/>
            </w:pPr>
          </w:p>
        </w:tc>
        <w:tc>
          <w:tcPr>
            <w:tcW w:w="188" w:type="pct"/>
            <w:gridSpan w:val="2"/>
          </w:tcPr>
          <w:p w14:paraId="78ACDDEE" w14:textId="77777777" w:rsidR="00B65B19" w:rsidRPr="0088618D" w:rsidRDefault="00B65B19" w:rsidP="00E04D78">
            <w:pPr>
              <w:jc w:val="center"/>
            </w:pPr>
          </w:p>
        </w:tc>
        <w:tc>
          <w:tcPr>
            <w:tcW w:w="158" w:type="pct"/>
          </w:tcPr>
          <w:p w14:paraId="1ACAEC53" w14:textId="77777777" w:rsidR="00B65B19" w:rsidRPr="0088618D" w:rsidRDefault="00B65B19" w:rsidP="00E04D78">
            <w:pPr>
              <w:jc w:val="center"/>
            </w:pPr>
          </w:p>
        </w:tc>
        <w:tc>
          <w:tcPr>
            <w:tcW w:w="190" w:type="pct"/>
            <w:gridSpan w:val="2"/>
          </w:tcPr>
          <w:p w14:paraId="75D8DF2D" w14:textId="77777777" w:rsidR="00B65B19" w:rsidRPr="0088618D" w:rsidRDefault="00B65B19" w:rsidP="00E04D78">
            <w:pPr>
              <w:jc w:val="center"/>
            </w:pPr>
          </w:p>
        </w:tc>
        <w:tc>
          <w:tcPr>
            <w:tcW w:w="193" w:type="pct"/>
            <w:gridSpan w:val="2"/>
          </w:tcPr>
          <w:p w14:paraId="1BF6B5F0" w14:textId="77777777" w:rsidR="00B65B19" w:rsidRPr="0088618D" w:rsidRDefault="00B65B19" w:rsidP="00E04D78">
            <w:pPr>
              <w:jc w:val="center"/>
            </w:pPr>
          </w:p>
        </w:tc>
      </w:tr>
      <w:tr w:rsidR="00B31B14" w:rsidRPr="00896A66" w14:paraId="335D4BFF" w14:textId="77777777" w:rsidTr="0074275D">
        <w:tc>
          <w:tcPr>
            <w:tcW w:w="1660" w:type="pct"/>
          </w:tcPr>
          <w:p w14:paraId="5C088087" w14:textId="77777777" w:rsidR="00B65B19" w:rsidRPr="0088618D" w:rsidRDefault="00B65B19" w:rsidP="00E04D78">
            <w:r w:rsidRPr="0088618D">
              <w:rPr>
                <w:color w:val="4F81BD" w:themeColor="accent1"/>
              </w:rPr>
              <w:t>[Enter text]</w:t>
            </w:r>
          </w:p>
        </w:tc>
        <w:tc>
          <w:tcPr>
            <w:tcW w:w="615" w:type="pct"/>
          </w:tcPr>
          <w:p w14:paraId="4D379BED" w14:textId="77777777" w:rsidR="00B65B19" w:rsidRPr="0088618D" w:rsidRDefault="00B65B19" w:rsidP="00E04D78">
            <w:pPr>
              <w:jc w:val="center"/>
            </w:pPr>
          </w:p>
        </w:tc>
        <w:tc>
          <w:tcPr>
            <w:tcW w:w="400" w:type="pct"/>
          </w:tcPr>
          <w:p w14:paraId="15C42ED6" w14:textId="77777777" w:rsidR="00B65B19" w:rsidRPr="000549DA" w:rsidRDefault="00B65B19" w:rsidP="00E04D78">
            <w:pPr>
              <w:jc w:val="center"/>
            </w:pPr>
          </w:p>
        </w:tc>
        <w:tc>
          <w:tcPr>
            <w:tcW w:w="155" w:type="pct"/>
            <w:gridSpan w:val="2"/>
          </w:tcPr>
          <w:p w14:paraId="224577A0" w14:textId="77777777" w:rsidR="00B65B19" w:rsidRPr="000549DA" w:rsidRDefault="00B65B19" w:rsidP="00E04D78">
            <w:pPr>
              <w:jc w:val="center"/>
            </w:pPr>
          </w:p>
        </w:tc>
        <w:tc>
          <w:tcPr>
            <w:tcW w:w="154" w:type="pct"/>
            <w:gridSpan w:val="2"/>
          </w:tcPr>
          <w:p w14:paraId="6965A79D" w14:textId="24100608" w:rsidR="00B65B19" w:rsidRPr="000549DA" w:rsidRDefault="00B65B19" w:rsidP="00E04D78">
            <w:pPr>
              <w:jc w:val="center"/>
            </w:pPr>
          </w:p>
        </w:tc>
        <w:tc>
          <w:tcPr>
            <w:tcW w:w="157" w:type="pct"/>
            <w:gridSpan w:val="2"/>
          </w:tcPr>
          <w:p w14:paraId="7BDC2E0A" w14:textId="77777777" w:rsidR="00B65B19" w:rsidRPr="0088618D" w:rsidRDefault="00B65B19" w:rsidP="00E04D78">
            <w:pPr>
              <w:jc w:val="center"/>
            </w:pPr>
          </w:p>
        </w:tc>
        <w:tc>
          <w:tcPr>
            <w:tcW w:w="157" w:type="pct"/>
            <w:gridSpan w:val="2"/>
          </w:tcPr>
          <w:p w14:paraId="48DF2713" w14:textId="77777777" w:rsidR="00B65B19" w:rsidRPr="0088618D" w:rsidRDefault="00B65B19" w:rsidP="00E04D78">
            <w:pPr>
              <w:jc w:val="center"/>
            </w:pPr>
          </w:p>
        </w:tc>
        <w:tc>
          <w:tcPr>
            <w:tcW w:w="157" w:type="pct"/>
            <w:gridSpan w:val="2"/>
          </w:tcPr>
          <w:p w14:paraId="33EADE0B" w14:textId="77777777" w:rsidR="00B65B19" w:rsidRPr="0088618D" w:rsidRDefault="00B65B19" w:rsidP="00E04D78">
            <w:pPr>
              <w:jc w:val="center"/>
            </w:pPr>
          </w:p>
        </w:tc>
        <w:tc>
          <w:tcPr>
            <w:tcW w:w="157" w:type="pct"/>
            <w:gridSpan w:val="2"/>
          </w:tcPr>
          <w:p w14:paraId="5455132D" w14:textId="77777777" w:rsidR="00B65B19" w:rsidRPr="0088618D" w:rsidRDefault="00B65B19" w:rsidP="00E04D78">
            <w:pPr>
              <w:jc w:val="center"/>
            </w:pPr>
          </w:p>
        </w:tc>
        <w:tc>
          <w:tcPr>
            <w:tcW w:w="157" w:type="pct"/>
            <w:gridSpan w:val="2"/>
          </w:tcPr>
          <w:p w14:paraId="5ECD949D" w14:textId="77777777" w:rsidR="00B65B19" w:rsidRPr="0088618D" w:rsidRDefault="00B65B19" w:rsidP="00E04D78">
            <w:pPr>
              <w:jc w:val="center"/>
            </w:pPr>
          </w:p>
        </w:tc>
        <w:tc>
          <w:tcPr>
            <w:tcW w:w="157" w:type="pct"/>
            <w:gridSpan w:val="2"/>
          </w:tcPr>
          <w:p w14:paraId="0FCB4120" w14:textId="77777777" w:rsidR="00B65B19" w:rsidRPr="0088618D" w:rsidRDefault="00B65B19" w:rsidP="00E04D78">
            <w:pPr>
              <w:jc w:val="center"/>
            </w:pPr>
          </w:p>
        </w:tc>
        <w:tc>
          <w:tcPr>
            <w:tcW w:w="157" w:type="pct"/>
            <w:gridSpan w:val="2"/>
          </w:tcPr>
          <w:p w14:paraId="038E264C" w14:textId="77777777" w:rsidR="00B65B19" w:rsidRPr="0088618D" w:rsidRDefault="00B65B19" w:rsidP="00E04D78">
            <w:pPr>
              <w:jc w:val="center"/>
            </w:pPr>
          </w:p>
        </w:tc>
        <w:tc>
          <w:tcPr>
            <w:tcW w:w="188" w:type="pct"/>
            <w:gridSpan w:val="2"/>
          </w:tcPr>
          <w:p w14:paraId="7F5FD186" w14:textId="77777777" w:rsidR="00B65B19" w:rsidRPr="0088618D" w:rsidRDefault="00B65B19" w:rsidP="00E04D78">
            <w:pPr>
              <w:jc w:val="center"/>
            </w:pPr>
          </w:p>
        </w:tc>
        <w:tc>
          <w:tcPr>
            <w:tcW w:w="188" w:type="pct"/>
            <w:gridSpan w:val="2"/>
          </w:tcPr>
          <w:p w14:paraId="19F6106C" w14:textId="77777777" w:rsidR="00B65B19" w:rsidRPr="0088618D" w:rsidRDefault="00B65B19" w:rsidP="00E04D78">
            <w:pPr>
              <w:jc w:val="center"/>
            </w:pPr>
          </w:p>
        </w:tc>
        <w:tc>
          <w:tcPr>
            <w:tcW w:w="158" w:type="pct"/>
          </w:tcPr>
          <w:p w14:paraId="0FE0B3C3" w14:textId="77777777" w:rsidR="00B65B19" w:rsidRPr="0088618D" w:rsidRDefault="00B65B19" w:rsidP="00E04D78">
            <w:pPr>
              <w:jc w:val="center"/>
            </w:pPr>
          </w:p>
        </w:tc>
        <w:tc>
          <w:tcPr>
            <w:tcW w:w="190" w:type="pct"/>
            <w:gridSpan w:val="2"/>
          </w:tcPr>
          <w:p w14:paraId="3A5CFFFB" w14:textId="77777777" w:rsidR="00B65B19" w:rsidRPr="0088618D" w:rsidRDefault="00B65B19" w:rsidP="00E04D78">
            <w:pPr>
              <w:jc w:val="center"/>
            </w:pPr>
          </w:p>
        </w:tc>
        <w:tc>
          <w:tcPr>
            <w:tcW w:w="193" w:type="pct"/>
            <w:gridSpan w:val="2"/>
          </w:tcPr>
          <w:p w14:paraId="1CD5063E" w14:textId="77777777" w:rsidR="00B65B19" w:rsidRPr="0088618D" w:rsidRDefault="00B65B19" w:rsidP="00E04D78">
            <w:pPr>
              <w:jc w:val="center"/>
            </w:pPr>
          </w:p>
        </w:tc>
      </w:tr>
      <w:tr w:rsidR="00B31B14" w:rsidRPr="00896A66" w14:paraId="639A9937" w14:textId="77777777" w:rsidTr="0074275D">
        <w:tc>
          <w:tcPr>
            <w:tcW w:w="1660" w:type="pct"/>
          </w:tcPr>
          <w:p w14:paraId="1D393674" w14:textId="77777777" w:rsidR="00B65B19" w:rsidRPr="0088618D" w:rsidRDefault="00B65B19" w:rsidP="00E04D78">
            <w:r w:rsidRPr="0088618D">
              <w:rPr>
                <w:color w:val="4F81BD" w:themeColor="accent1"/>
              </w:rPr>
              <w:t>[Enter text]</w:t>
            </w:r>
          </w:p>
        </w:tc>
        <w:tc>
          <w:tcPr>
            <w:tcW w:w="615" w:type="pct"/>
          </w:tcPr>
          <w:p w14:paraId="36EAB830" w14:textId="77777777" w:rsidR="00B65B19" w:rsidRPr="0088618D" w:rsidRDefault="00B65B19" w:rsidP="00E04D78">
            <w:pPr>
              <w:jc w:val="center"/>
            </w:pPr>
          </w:p>
        </w:tc>
        <w:tc>
          <w:tcPr>
            <w:tcW w:w="400" w:type="pct"/>
          </w:tcPr>
          <w:p w14:paraId="78D23674" w14:textId="77777777" w:rsidR="00B65B19" w:rsidRPr="000549DA" w:rsidRDefault="00B65B19" w:rsidP="00E04D78">
            <w:pPr>
              <w:jc w:val="center"/>
            </w:pPr>
          </w:p>
        </w:tc>
        <w:tc>
          <w:tcPr>
            <w:tcW w:w="155" w:type="pct"/>
            <w:gridSpan w:val="2"/>
          </w:tcPr>
          <w:p w14:paraId="33800BBC" w14:textId="77777777" w:rsidR="00B65B19" w:rsidRPr="000549DA" w:rsidRDefault="00B65B19" w:rsidP="00E04D78">
            <w:pPr>
              <w:jc w:val="center"/>
            </w:pPr>
          </w:p>
        </w:tc>
        <w:tc>
          <w:tcPr>
            <w:tcW w:w="154" w:type="pct"/>
            <w:gridSpan w:val="2"/>
          </w:tcPr>
          <w:p w14:paraId="65A8DE2E" w14:textId="1976ACDC" w:rsidR="00B65B19" w:rsidRPr="000549DA" w:rsidRDefault="00B65B19" w:rsidP="00E04D78">
            <w:pPr>
              <w:jc w:val="center"/>
            </w:pPr>
          </w:p>
        </w:tc>
        <w:tc>
          <w:tcPr>
            <w:tcW w:w="157" w:type="pct"/>
            <w:gridSpan w:val="2"/>
          </w:tcPr>
          <w:p w14:paraId="1A607543" w14:textId="77777777" w:rsidR="00B65B19" w:rsidRPr="0088618D" w:rsidRDefault="00B65B19" w:rsidP="00E04D78">
            <w:pPr>
              <w:jc w:val="center"/>
            </w:pPr>
          </w:p>
        </w:tc>
        <w:tc>
          <w:tcPr>
            <w:tcW w:w="157" w:type="pct"/>
            <w:gridSpan w:val="2"/>
          </w:tcPr>
          <w:p w14:paraId="017F4A0F" w14:textId="77777777" w:rsidR="00B65B19" w:rsidRPr="0088618D" w:rsidRDefault="00B65B19" w:rsidP="00E04D78">
            <w:pPr>
              <w:jc w:val="center"/>
            </w:pPr>
          </w:p>
        </w:tc>
        <w:tc>
          <w:tcPr>
            <w:tcW w:w="157" w:type="pct"/>
            <w:gridSpan w:val="2"/>
          </w:tcPr>
          <w:p w14:paraId="0B48D634" w14:textId="77777777" w:rsidR="00B65B19" w:rsidRPr="0088618D" w:rsidRDefault="00B65B19" w:rsidP="00E04D78">
            <w:pPr>
              <w:jc w:val="center"/>
            </w:pPr>
          </w:p>
        </w:tc>
        <w:tc>
          <w:tcPr>
            <w:tcW w:w="157" w:type="pct"/>
            <w:gridSpan w:val="2"/>
          </w:tcPr>
          <w:p w14:paraId="044E3793" w14:textId="77777777" w:rsidR="00B65B19" w:rsidRPr="0088618D" w:rsidRDefault="00B65B19" w:rsidP="00E04D78">
            <w:pPr>
              <w:jc w:val="center"/>
            </w:pPr>
          </w:p>
        </w:tc>
        <w:tc>
          <w:tcPr>
            <w:tcW w:w="157" w:type="pct"/>
            <w:gridSpan w:val="2"/>
          </w:tcPr>
          <w:p w14:paraId="47B6C799" w14:textId="77777777" w:rsidR="00B65B19" w:rsidRPr="0088618D" w:rsidRDefault="00B65B19" w:rsidP="00E04D78">
            <w:pPr>
              <w:jc w:val="center"/>
            </w:pPr>
          </w:p>
        </w:tc>
        <w:tc>
          <w:tcPr>
            <w:tcW w:w="157" w:type="pct"/>
            <w:gridSpan w:val="2"/>
          </w:tcPr>
          <w:p w14:paraId="4A141BD3" w14:textId="77777777" w:rsidR="00B65B19" w:rsidRPr="0088618D" w:rsidRDefault="00B65B19" w:rsidP="00E04D78">
            <w:pPr>
              <w:jc w:val="center"/>
            </w:pPr>
          </w:p>
        </w:tc>
        <w:tc>
          <w:tcPr>
            <w:tcW w:w="157" w:type="pct"/>
            <w:gridSpan w:val="2"/>
          </w:tcPr>
          <w:p w14:paraId="007C4AB8" w14:textId="77777777" w:rsidR="00B65B19" w:rsidRPr="0088618D" w:rsidRDefault="00B65B19" w:rsidP="00E04D78">
            <w:pPr>
              <w:jc w:val="center"/>
            </w:pPr>
          </w:p>
        </w:tc>
        <w:tc>
          <w:tcPr>
            <w:tcW w:w="188" w:type="pct"/>
            <w:gridSpan w:val="2"/>
          </w:tcPr>
          <w:p w14:paraId="3B4B18E3" w14:textId="77777777" w:rsidR="00B65B19" w:rsidRPr="0088618D" w:rsidRDefault="00B65B19" w:rsidP="00E04D78">
            <w:pPr>
              <w:jc w:val="center"/>
            </w:pPr>
          </w:p>
        </w:tc>
        <w:tc>
          <w:tcPr>
            <w:tcW w:w="188" w:type="pct"/>
            <w:gridSpan w:val="2"/>
          </w:tcPr>
          <w:p w14:paraId="4B067E1A" w14:textId="77777777" w:rsidR="00B65B19" w:rsidRPr="0088618D" w:rsidRDefault="00B65B19" w:rsidP="00E04D78">
            <w:pPr>
              <w:jc w:val="center"/>
            </w:pPr>
          </w:p>
        </w:tc>
        <w:tc>
          <w:tcPr>
            <w:tcW w:w="158" w:type="pct"/>
          </w:tcPr>
          <w:p w14:paraId="5320953E" w14:textId="77777777" w:rsidR="00B65B19" w:rsidRPr="0088618D" w:rsidRDefault="00B65B19" w:rsidP="00E04D78">
            <w:pPr>
              <w:jc w:val="center"/>
            </w:pPr>
          </w:p>
        </w:tc>
        <w:tc>
          <w:tcPr>
            <w:tcW w:w="190" w:type="pct"/>
            <w:gridSpan w:val="2"/>
          </w:tcPr>
          <w:p w14:paraId="240A57A6" w14:textId="77777777" w:rsidR="00B65B19" w:rsidRPr="0088618D" w:rsidRDefault="00B65B19" w:rsidP="00E04D78">
            <w:pPr>
              <w:jc w:val="center"/>
            </w:pPr>
          </w:p>
        </w:tc>
        <w:tc>
          <w:tcPr>
            <w:tcW w:w="193" w:type="pct"/>
            <w:gridSpan w:val="2"/>
          </w:tcPr>
          <w:p w14:paraId="3BD132E7" w14:textId="77777777" w:rsidR="00B65B19" w:rsidRPr="0088618D" w:rsidRDefault="00B65B19" w:rsidP="00E04D78">
            <w:pPr>
              <w:jc w:val="center"/>
            </w:pPr>
          </w:p>
        </w:tc>
      </w:tr>
      <w:tr w:rsidR="00D501E7" w:rsidRPr="00896A66" w14:paraId="120CA0A9" w14:textId="77777777" w:rsidTr="0074275D">
        <w:tc>
          <w:tcPr>
            <w:tcW w:w="5000" w:type="pct"/>
            <w:gridSpan w:val="30"/>
            <w:shd w:val="clear" w:color="auto" w:fill="D9D9D9" w:themeFill="background1" w:themeFillShade="D9"/>
          </w:tcPr>
          <w:p w14:paraId="3CF4AFE4" w14:textId="77777777" w:rsidR="00D501E7" w:rsidRPr="0088618D" w:rsidRDefault="00D501E7" w:rsidP="00D501E7">
            <w:pPr>
              <w:rPr>
                <w:b/>
                <w:bCs/>
                <w:i/>
                <w:iCs/>
              </w:rPr>
            </w:pPr>
            <w:r w:rsidRPr="0088618D">
              <w:rPr>
                <w:b/>
                <w:bCs/>
                <w:i/>
                <w:iCs/>
              </w:rPr>
              <w:t>Application Processing</w:t>
            </w:r>
          </w:p>
        </w:tc>
      </w:tr>
      <w:tr w:rsidR="00B31B14" w:rsidRPr="00896A66" w14:paraId="41B10F56" w14:textId="77777777" w:rsidTr="0074275D">
        <w:tc>
          <w:tcPr>
            <w:tcW w:w="1660" w:type="pct"/>
          </w:tcPr>
          <w:p w14:paraId="097C3D47" w14:textId="77777777" w:rsidR="00D501E7" w:rsidRPr="0088618D" w:rsidRDefault="00D501E7" w:rsidP="00D501E7">
            <w:r w:rsidRPr="0088618D">
              <w:rPr>
                <w:color w:val="4F81BD" w:themeColor="accent1"/>
              </w:rPr>
              <w:lastRenderedPageBreak/>
              <w:t>[Enter text]</w:t>
            </w:r>
          </w:p>
        </w:tc>
        <w:tc>
          <w:tcPr>
            <w:tcW w:w="615" w:type="pct"/>
          </w:tcPr>
          <w:p w14:paraId="7E478403" w14:textId="77777777" w:rsidR="00D501E7" w:rsidRPr="0088618D" w:rsidRDefault="00D501E7" w:rsidP="00D501E7">
            <w:pPr>
              <w:jc w:val="center"/>
            </w:pPr>
          </w:p>
        </w:tc>
        <w:tc>
          <w:tcPr>
            <w:tcW w:w="400" w:type="pct"/>
          </w:tcPr>
          <w:p w14:paraId="35540C46" w14:textId="77777777" w:rsidR="00D501E7" w:rsidRPr="000549DA" w:rsidRDefault="00D501E7" w:rsidP="00D501E7">
            <w:pPr>
              <w:jc w:val="center"/>
            </w:pPr>
          </w:p>
        </w:tc>
        <w:tc>
          <w:tcPr>
            <w:tcW w:w="155" w:type="pct"/>
            <w:gridSpan w:val="2"/>
          </w:tcPr>
          <w:p w14:paraId="7467BB6F" w14:textId="77777777" w:rsidR="00D501E7" w:rsidRPr="000549DA" w:rsidRDefault="00D501E7" w:rsidP="00D501E7">
            <w:pPr>
              <w:jc w:val="center"/>
            </w:pPr>
          </w:p>
        </w:tc>
        <w:tc>
          <w:tcPr>
            <w:tcW w:w="154" w:type="pct"/>
            <w:gridSpan w:val="2"/>
          </w:tcPr>
          <w:p w14:paraId="18A06246" w14:textId="5EF342BC" w:rsidR="00D501E7" w:rsidRPr="000549DA" w:rsidRDefault="00D501E7" w:rsidP="00D501E7">
            <w:pPr>
              <w:jc w:val="center"/>
            </w:pPr>
          </w:p>
        </w:tc>
        <w:tc>
          <w:tcPr>
            <w:tcW w:w="157" w:type="pct"/>
            <w:gridSpan w:val="2"/>
          </w:tcPr>
          <w:p w14:paraId="5BE6E295" w14:textId="77777777" w:rsidR="00D501E7" w:rsidRPr="0088618D" w:rsidRDefault="00D501E7" w:rsidP="00D501E7">
            <w:pPr>
              <w:jc w:val="center"/>
            </w:pPr>
          </w:p>
        </w:tc>
        <w:tc>
          <w:tcPr>
            <w:tcW w:w="157" w:type="pct"/>
            <w:gridSpan w:val="2"/>
          </w:tcPr>
          <w:p w14:paraId="438F4F16" w14:textId="77777777" w:rsidR="00D501E7" w:rsidRPr="0088618D" w:rsidRDefault="00D501E7" w:rsidP="00D501E7">
            <w:pPr>
              <w:jc w:val="center"/>
            </w:pPr>
          </w:p>
        </w:tc>
        <w:tc>
          <w:tcPr>
            <w:tcW w:w="157" w:type="pct"/>
            <w:gridSpan w:val="2"/>
          </w:tcPr>
          <w:p w14:paraId="6BD9DA7A" w14:textId="77777777" w:rsidR="00D501E7" w:rsidRPr="0088618D" w:rsidRDefault="00D501E7" w:rsidP="00D501E7">
            <w:pPr>
              <w:jc w:val="center"/>
            </w:pPr>
          </w:p>
        </w:tc>
        <w:tc>
          <w:tcPr>
            <w:tcW w:w="157" w:type="pct"/>
            <w:gridSpan w:val="2"/>
          </w:tcPr>
          <w:p w14:paraId="1F9F7235" w14:textId="77777777" w:rsidR="00D501E7" w:rsidRPr="0088618D" w:rsidRDefault="00D501E7" w:rsidP="00D501E7">
            <w:pPr>
              <w:jc w:val="center"/>
            </w:pPr>
          </w:p>
        </w:tc>
        <w:tc>
          <w:tcPr>
            <w:tcW w:w="157" w:type="pct"/>
            <w:gridSpan w:val="2"/>
          </w:tcPr>
          <w:p w14:paraId="42ED26B5" w14:textId="77777777" w:rsidR="00D501E7" w:rsidRPr="0088618D" w:rsidRDefault="00D501E7" w:rsidP="00D501E7">
            <w:pPr>
              <w:jc w:val="center"/>
            </w:pPr>
          </w:p>
        </w:tc>
        <w:tc>
          <w:tcPr>
            <w:tcW w:w="157" w:type="pct"/>
            <w:gridSpan w:val="2"/>
          </w:tcPr>
          <w:p w14:paraId="1EF2C439" w14:textId="77777777" w:rsidR="00D501E7" w:rsidRPr="0088618D" w:rsidRDefault="00D501E7" w:rsidP="00D501E7">
            <w:pPr>
              <w:jc w:val="center"/>
            </w:pPr>
          </w:p>
        </w:tc>
        <w:tc>
          <w:tcPr>
            <w:tcW w:w="157" w:type="pct"/>
            <w:gridSpan w:val="2"/>
          </w:tcPr>
          <w:p w14:paraId="625E89B5" w14:textId="77777777" w:rsidR="00D501E7" w:rsidRPr="0088618D" w:rsidRDefault="00D501E7" w:rsidP="00D501E7">
            <w:pPr>
              <w:jc w:val="center"/>
            </w:pPr>
          </w:p>
        </w:tc>
        <w:tc>
          <w:tcPr>
            <w:tcW w:w="188" w:type="pct"/>
            <w:gridSpan w:val="2"/>
          </w:tcPr>
          <w:p w14:paraId="5FD5DE23" w14:textId="77777777" w:rsidR="00D501E7" w:rsidRPr="0088618D" w:rsidRDefault="00D501E7" w:rsidP="00D501E7">
            <w:pPr>
              <w:jc w:val="center"/>
            </w:pPr>
          </w:p>
        </w:tc>
        <w:tc>
          <w:tcPr>
            <w:tcW w:w="188" w:type="pct"/>
            <w:gridSpan w:val="2"/>
          </w:tcPr>
          <w:p w14:paraId="2AB7C872" w14:textId="77777777" w:rsidR="00D501E7" w:rsidRPr="0088618D" w:rsidRDefault="00D501E7" w:rsidP="00D501E7">
            <w:pPr>
              <w:jc w:val="center"/>
            </w:pPr>
          </w:p>
        </w:tc>
        <w:tc>
          <w:tcPr>
            <w:tcW w:w="158" w:type="pct"/>
          </w:tcPr>
          <w:p w14:paraId="67918E2F" w14:textId="77777777" w:rsidR="00D501E7" w:rsidRPr="0088618D" w:rsidRDefault="00D501E7" w:rsidP="00D501E7">
            <w:pPr>
              <w:jc w:val="center"/>
            </w:pPr>
          </w:p>
        </w:tc>
        <w:tc>
          <w:tcPr>
            <w:tcW w:w="190" w:type="pct"/>
            <w:gridSpan w:val="2"/>
          </w:tcPr>
          <w:p w14:paraId="560899EF" w14:textId="77777777" w:rsidR="00D501E7" w:rsidRPr="0088618D" w:rsidRDefault="00D501E7" w:rsidP="00D501E7">
            <w:pPr>
              <w:jc w:val="center"/>
            </w:pPr>
          </w:p>
        </w:tc>
        <w:tc>
          <w:tcPr>
            <w:tcW w:w="193" w:type="pct"/>
            <w:gridSpan w:val="2"/>
          </w:tcPr>
          <w:p w14:paraId="23063F24" w14:textId="77777777" w:rsidR="00D501E7" w:rsidRPr="0088618D" w:rsidRDefault="00D501E7" w:rsidP="00D501E7">
            <w:pPr>
              <w:jc w:val="center"/>
            </w:pPr>
          </w:p>
        </w:tc>
      </w:tr>
      <w:tr w:rsidR="00B31B14" w:rsidRPr="00896A66" w14:paraId="16748D75" w14:textId="77777777" w:rsidTr="0074275D">
        <w:tc>
          <w:tcPr>
            <w:tcW w:w="1660" w:type="pct"/>
          </w:tcPr>
          <w:p w14:paraId="40A6261E" w14:textId="77777777" w:rsidR="00D501E7" w:rsidRPr="0088618D" w:rsidRDefault="00D501E7" w:rsidP="00D501E7">
            <w:r w:rsidRPr="0088618D">
              <w:rPr>
                <w:color w:val="4F81BD" w:themeColor="accent1"/>
              </w:rPr>
              <w:t>[Enter text]</w:t>
            </w:r>
          </w:p>
        </w:tc>
        <w:tc>
          <w:tcPr>
            <w:tcW w:w="615" w:type="pct"/>
          </w:tcPr>
          <w:p w14:paraId="41111880" w14:textId="77777777" w:rsidR="00D501E7" w:rsidRPr="0088618D" w:rsidRDefault="00D501E7" w:rsidP="00D501E7">
            <w:pPr>
              <w:jc w:val="center"/>
            </w:pPr>
          </w:p>
        </w:tc>
        <w:tc>
          <w:tcPr>
            <w:tcW w:w="400" w:type="pct"/>
          </w:tcPr>
          <w:p w14:paraId="3EEE4E40" w14:textId="77777777" w:rsidR="00D501E7" w:rsidRPr="000549DA" w:rsidRDefault="00D501E7" w:rsidP="00D501E7">
            <w:pPr>
              <w:jc w:val="center"/>
            </w:pPr>
          </w:p>
        </w:tc>
        <w:tc>
          <w:tcPr>
            <w:tcW w:w="155" w:type="pct"/>
            <w:gridSpan w:val="2"/>
          </w:tcPr>
          <w:p w14:paraId="573CB3C2" w14:textId="77777777" w:rsidR="00D501E7" w:rsidRPr="000549DA" w:rsidRDefault="00D501E7" w:rsidP="00D501E7">
            <w:pPr>
              <w:jc w:val="center"/>
            </w:pPr>
          </w:p>
        </w:tc>
        <w:tc>
          <w:tcPr>
            <w:tcW w:w="154" w:type="pct"/>
            <w:gridSpan w:val="2"/>
          </w:tcPr>
          <w:p w14:paraId="47E5CAE7" w14:textId="5C22D265" w:rsidR="00D501E7" w:rsidRPr="000549DA" w:rsidRDefault="00D501E7" w:rsidP="00D501E7">
            <w:pPr>
              <w:jc w:val="center"/>
            </w:pPr>
          </w:p>
        </w:tc>
        <w:tc>
          <w:tcPr>
            <w:tcW w:w="157" w:type="pct"/>
            <w:gridSpan w:val="2"/>
          </w:tcPr>
          <w:p w14:paraId="55A5E90B" w14:textId="77777777" w:rsidR="00D501E7" w:rsidRPr="0088618D" w:rsidRDefault="00D501E7" w:rsidP="00D501E7">
            <w:pPr>
              <w:jc w:val="center"/>
            </w:pPr>
          </w:p>
        </w:tc>
        <w:tc>
          <w:tcPr>
            <w:tcW w:w="157" w:type="pct"/>
            <w:gridSpan w:val="2"/>
          </w:tcPr>
          <w:p w14:paraId="58EA1EC4" w14:textId="77777777" w:rsidR="00D501E7" w:rsidRPr="0088618D" w:rsidRDefault="00D501E7" w:rsidP="00D501E7">
            <w:pPr>
              <w:jc w:val="center"/>
            </w:pPr>
          </w:p>
        </w:tc>
        <w:tc>
          <w:tcPr>
            <w:tcW w:w="157" w:type="pct"/>
            <w:gridSpan w:val="2"/>
          </w:tcPr>
          <w:p w14:paraId="28AB21E4" w14:textId="77777777" w:rsidR="00D501E7" w:rsidRPr="0088618D" w:rsidRDefault="00D501E7" w:rsidP="00D501E7">
            <w:pPr>
              <w:jc w:val="center"/>
            </w:pPr>
          </w:p>
        </w:tc>
        <w:tc>
          <w:tcPr>
            <w:tcW w:w="157" w:type="pct"/>
            <w:gridSpan w:val="2"/>
          </w:tcPr>
          <w:p w14:paraId="483FF5C1" w14:textId="77777777" w:rsidR="00D501E7" w:rsidRPr="0088618D" w:rsidRDefault="00D501E7" w:rsidP="00D501E7">
            <w:pPr>
              <w:jc w:val="center"/>
            </w:pPr>
          </w:p>
        </w:tc>
        <w:tc>
          <w:tcPr>
            <w:tcW w:w="157" w:type="pct"/>
            <w:gridSpan w:val="2"/>
          </w:tcPr>
          <w:p w14:paraId="58C3C35B" w14:textId="77777777" w:rsidR="00D501E7" w:rsidRPr="0088618D" w:rsidRDefault="00D501E7" w:rsidP="00D501E7">
            <w:pPr>
              <w:jc w:val="center"/>
            </w:pPr>
          </w:p>
        </w:tc>
        <w:tc>
          <w:tcPr>
            <w:tcW w:w="157" w:type="pct"/>
            <w:gridSpan w:val="2"/>
          </w:tcPr>
          <w:p w14:paraId="692A5685" w14:textId="77777777" w:rsidR="00D501E7" w:rsidRPr="0088618D" w:rsidRDefault="00D501E7" w:rsidP="00D501E7">
            <w:pPr>
              <w:jc w:val="center"/>
            </w:pPr>
          </w:p>
        </w:tc>
        <w:tc>
          <w:tcPr>
            <w:tcW w:w="157" w:type="pct"/>
            <w:gridSpan w:val="2"/>
          </w:tcPr>
          <w:p w14:paraId="18460BB4" w14:textId="77777777" w:rsidR="00D501E7" w:rsidRPr="0088618D" w:rsidRDefault="00D501E7" w:rsidP="00D501E7">
            <w:pPr>
              <w:jc w:val="center"/>
            </w:pPr>
          </w:p>
        </w:tc>
        <w:tc>
          <w:tcPr>
            <w:tcW w:w="188" w:type="pct"/>
            <w:gridSpan w:val="2"/>
          </w:tcPr>
          <w:p w14:paraId="523BB4A2" w14:textId="77777777" w:rsidR="00D501E7" w:rsidRPr="0088618D" w:rsidRDefault="00D501E7" w:rsidP="00D501E7">
            <w:pPr>
              <w:jc w:val="center"/>
            </w:pPr>
          </w:p>
        </w:tc>
        <w:tc>
          <w:tcPr>
            <w:tcW w:w="188" w:type="pct"/>
            <w:gridSpan w:val="2"/>
          </w:tcPr>
          <w:p w14:paraId="578D8630" w14:textId="77777777" w:rsidR="00D501E7" w:rsidRPr="0088618D" w:rsidRDefault="00D501E7" w:rsidP="00D501E7">
            <w:pPr>
              <w:jc w:val="center"/>
            </w:pPr>
          </w:p>
        </w:tc>
        <w:tc>
          <w:tcPr>
            <w:tcW w:w="158" w:type="pct"/>
          </w:tcPr>
          <w:p w14:paraId="6B61C962" w14:textId="77777777" w:rsidR="00D501E7" w:rsidRPr="0088618D" w:rsidRDefault="00D501E7" w:rsidP="00D501E7">
            <w:pPr>
              <w:jc w:val="center"/>
            </w:pPr>
          </w:p>
        </w:tc>
        <w:tc>
          <w:tcPr>
            <w:tcW w:w="190" w:type="pct"/>
            <w:gridSpan w:val="2"/>
          </w:tcPr>
          <w:p w14:paraId="2177AEA9" w14:textId="77777777" w:rsidR="00D501E7" w:rsidRPr="0088618D" w:rsidRDefault="00D501E7" w:rsidP="00D501E7">
            <w:pPr>
              <w:jc w:val="center"/>
            </w:pPr>
          </w:p>
        </w:tc>
        <w:tc>
          <w:tcPr>
            <w:tcW w:w="193" w:type="pct"/>
            <w:gridSpan w:val="2"/>
          </w:tcPr>
          <w:p w14:paraId="07745F31" w14:textId="77777777" w:rsidR="00D501E7" w:rsidRPr="0088618D" w:rsidRDefault="00D501E7" w:rsidP="00D501E7">
            <w:pPr>
              <w:jc w:val="center"/>
            </w:pPr>
          </w:p>
        </w:tc>
      </w:tr>
      <w:tr w:rsidR="00B31B14" w:rsidRPr="00896A66" w14:paraId="0D9F690E" w14:textId="77777777" w:rsidTr="0074275D">
        <w:tc>
          <w:tcPr>
            <w:tcW w:w="1660" w:type="pct"/>
          </w:tcPr>
          <w:p w14:paraId="10636CE4" w14:textId="77777777" w:rsidR="00D501E7" w:rsidRPr="0088618D" w:rsidRDefault="00D501E7" w:rsidP="00D501E7">
            <w:r w:rsidRPr="0088618D">
              <w:rPr>
                <w:color w:val="4F81BD" w:themeColor="accent1"/>
              </w:rPr>
              <w:t>[Enter text]</w:t>
            </w:r>
          </w:p>
        </w:tc>
        <w:tc>
          <w:tcPr>
            <w:tcW w:w="615" w:type="pct"/>
          </w:tcPr>
          <w:p w14:paraId="515520D2" w14:textId="77777777" w:rsidR="00D501E7" w:rsidRPr="0088618D" w:rsidRDefault="00D501E7" w:rsidP="00D501E7">
            <w:pPr>
              <w:jc w:val="center"/>
            </w:pPr>
          </w:p>
        </w:tc>
        <w:tc>
          <w:tcPr>
            <w:tcW w:w="400" w:type="pct"/>
          </w:tcPr>
          <w:p w14:paraId="17DA64BE" w14:textId="77777777" w:rsidR="00D501E7" w:rsidRPr="000549DA" w:rsidRDefault="00D501E7" w:rsidP="00D501E7">
            <w:pPr>
              <w:jc w:val="center"/>
            </w:pPr>
          </w:p>
        </w:tc>
        <w:tc>
          <w:tcPr>
            <w:tcW w:w="155" w:type="pct"/>
            <w:gridSpan w:val="2"/>
          </w:tcPr>
          <w:p w14:paraId="30578DEA" w14:textId="77777777" w:rsidR="00D501E7" w:rsidRPr="000549DA" w:rsidRDefault="00D501E7" w:rsidP="00D501E7">
            <w:pPr>
              <w:jc w:val="center"/>
            </w:pPr>
          </w:p>
        </w:tc>
        <w:tc>
          <w:tcPr>
            <w:tcW w:w="154" w:type="pct"/>
            <w:gridSpan w:val="2"/>
          </w:tcPr>
          <w:p w14:paraId="49D908C2" w14:textId="16F388F9" w:rsidR="00D501E7" w:rsidRPr="000549DA" w:rsidRDefault="00D501E7" w:rsidP="00D501E7">
            <w:pPr>
              <w:jc w:val="center"/>
            </w:pPr>
          </w:p>
        </w:tc>
        <w:tc>
          <w:tcPr>
            <w:tcW w:w="157" w:type="pct"/>
            <w:gridSpan w:val="2"/>
          </w:tcPr>
          <w:p w14:paraId="2631C69B" w14:textId="77777777" w:rsidR="00D501E7" w:rsidRPr="0088618D" w:rsidRDefault="00D501E7" w:rsidP="00D501E7">
            <w:pPr>
              <w:jc w:val="center"/>
            </w:pPr>
          </w:p>
        </w:tc>
        <w:tc>
          <w:tcPr>
            <w:tcW w:w="157" w:type="pct"/>
            <w:gridSpan w:val="2"/>
          </w:tcPr>
          <w:p w14:paraId="5E9CF0C3" w14:textId="77777777" w:rsidR="00D501E7" w:rsidRPr="0088618D" w:rsidRDefault="00D501E7" w:rsidP="00D501E7">
            <w:pPr>
              <w:jc w:val="center"/>
            </w:pPr>
          </w:p>
        </w:tc>
        <w:tc>
          <w:tcPr>
            <w:tcW w:w="157" w:type="pct"/>
            <w:gridSpan w:val="2"/>
          </w:tcPr>
          <w:p w14:paraId="45CD5B7B" w14:textId="77777777" w:rsidR="00D501E7" w:rsidRPr="0088618D" w:rsidRDefault="00D501E7" w:rsidP="00D501E7">
            <w:pPr>
              <w:jc w:val="center"/>
            </w:pPr>
          </w:p>
        </w:tc>
        <w:tc>
          <w:tcPr>
            <w:tcW w:w="157" w:type="pct"/>
            <w:gridSpan w:val="2"/>
          </w:tcPr>
          <w:p w14:paraId="723B5413" w14:textId="77777777" w:rsidR="00D501E7" w:rsidRPr="0088618D" w:rsidRDefault="00D501E7" w:rsidP="00D501E7">
            <w:pPr>
              <w:jc w:val="center"/>
            </w:pPr>
          </w:p>
        </w:tc>
        <w:tc>
          <w:tcPr>
            <w:tcW w:w="157" w:type="pct"/>
            <w:gridSpan w:val="2"/>
          </w:tcPr>
          <w:p w14:paraId="6915474C" w14:textId="77777777" w:rsidR="00D501E7" w:rsidRPr="0088618D" w:rsidRDefault="00D501E7" w:rsidP="00D501E7">
            <w:pPr>
              <w:jc w:val="center"/>
            </w:pPr>
          </w:p>
        </w:tc>
        <w:tc>
          <w:tcPr>
            <w:tcW w:w="157" w:type="pct"/>
            <w:gridSpan w:val="2"/>
          </w:tcPr>
          <w:p w14:paraId="705D2C1D" w14:textId="77777777" w:rsidR="00D501E7" w:rsidRPr="0088618D" w:rsidRDefault="00D501E7" w:rsidP="00D501E7">
            <w:pPr>
              <w:jc w:val="center"/>
            </w:pPr>
          </w:p>
        </w:tc>
        <w:tc>
          <w:tcPr>
            <w:tcW w:w="157" w:type="pct"/>
            <w:gridSpan w:val="2"/>
          </w:tcPr>
          <w:p w14:paraId="417237E4" w14:textId="77777777" w:rsidR="00D501E7" w:rsidRPr="0088618D" w:rsidRDefault="00D501E7" w:rsidP="00D501E7">
            <w:pPr>
              <w:jc w:val="center"/>
            </w:pPr>
          </w:p>
        </w:tc>
        <w:tc>
          <w:tcPr>
            <w:tcW w:w="188" w:type="pct"/>
            <w:gridSpan w:val="2"/>
          </w:tcPr>
          <w:p w14:paraId="55D6FA45" w14:textId="77777777" w:rsidR="00D501E7" w:rsidRPr="0088618D" w:rsidRDefault="00D501E7" w:rsidP="00D501E7">
            <w:pPr>
              <w:jc w:val="center"/>
            </w:pPr>
          </w:p>
        </w:tc>
        <w:tc>
          <w:tcPr>
            <w:tcW w:w="188" w:type="pct"/>
            <w:gridSpan w:val="2"/>
          </w:tcPr>
          <w:p w14:paraId="334C1E1B" w14:textId="77777777" w:rsidR="00D501E7" w:rsidRPr="0088618D" w:rsidRDefault="00D501E7" w:rsidP="00D501E7">
            <w:pPr>
              <w:jc w:val="center"/>
            </w:pPr>
          </w:p>
        </w:tc>
        <w:tc>
          <w:tcPr>
            <w:tcW w:w="158" w:type="pct"/>
          </w:tcPr>
          <w:p w14:paraId="0A2BC103" w14:textId="77777777" w:rsidR="00D501E7" w:rsidRPr="0088618D" w:rsidRDefault="00D501E7" w:rsidP="00D501E7">
            <w:pPr>
              <w:jc w:val="center"/>
            </w:pPr>
          </w:p>
        </w:tc>
        <w:tc>
          <w:tcPr>
            <w:tcW w:w="190" w:type="pct"/>
            <w:gridSpan w:val="2"/>
          </w:tcPr>
          <w:p w14:paraId="4B984357" w14:textId="77777777" w:rsidR="00D501E7" w:rsidRPr="0088618D" w:rsidRDefault="00D501E7" w:rsidP="00D501E7">
            <w:pPr>
              <w:jc w:val="center"/>
            </w:pPr>
          </w:p>
        </w:tc>
        <w:tc>
          <w:tcPr>
            <w:tcW w:w="193" w:type="pct"/>
            <w:gridSpan w:val="2"/>
          </w:tcPr>
          <w:p w14:paraId="2B5C43BD" w14:textId="77777777" w:rsidR="00D501E7" w:rsidRPr="0088618D" w:rsidRDefault="00D501E7" w:rsidP="00D501E7">
            <w:pPr>
              <w:jc w:val="center"/>
            </w:pPr>
          </w:p>
        </w:tc>
      </w:tr>
      <w:tr w:rsidR="0039109B" w:rsidRPr="0088618D" w14:paraId="73A8E646" w14:textId="77777777" w:rsidTr="0074275D">
        <w:tc>
          <w:tcPr>
            <w:tcW w:w="5000" w:type="pct"/>
            <w:gridSpan w:val="30"/>
            <w:shd w:val="clear" w:color="auto" w:fill="D9D9D9" w:themeFill="background1" w:themeFillShade="D9"/>
          </w:tcPr>
          <w:p w14:paraId="38AA2DB9" w14:textId="77777777" w:rsidR="0039109B" w:rsidRPr="0088618D" w:rsidRDefault="0039109B" w:rsidP="00A24A7D">
            <w:r>
              <w:rPr>
                <w:b/>
                <w:bCs/>
                <w:i/>
                <w:iCs/>
              </w:rPr>
              <w:t>Eligibility Determinations</w:t>
            </w:r>
          </w:p>
        </w:tc>
      </w:tr>
      <w:tr w:rsidR="00B31B14" w:rsidRPr="0088618D" w14:paraId="2C99F241" w14:textId="77777777" w:rsidTr="0074275D">
        <w:tc>
          <w:tcPr>
            <w:tcW w:w="1660" w:type="pct"/>
          </w:tcPr>
          <w:p w14:paraId="319703FE" w14:textId="77777777" w:rsidR="0039109B" w:rsidRPr="0088618D" w:rsidRDefault="0039109B" w:rsidP="00A24A7D">
            <w:pPr>
              <w:rPr>
                <w:color w:val="4F81BD" w:themeColor="accent1"/>
              </w:rPr>
            </w:pPr>
            <w:r w:rsidRPr="0088618D">
              <w:rPr>
                <w:color w:val="4F81BD" w:themeColor="accent1"/>
              </w:rPr>
              <w:t>[Enter text]</w:t>
            </w:r>
          </w:p>
        </w:tc>
        <w:tc>
          <w:tcPr>
            <w:tcW w:w="615" w:type="pct"/>
          </w:tcPr>
          <w:p w14:paraId="0980E4CB" w14:textId="77777777" w:rsidR="0039109B" w:rsidRPr="0088618D" w:rsidRDefault="0039109B" w:rsidP="00A24A7D">
            <w:pPr>
              <w:jc w:val="center"/>
            </w:pPr>
          </w:p>
        </w:tc>
        <w:tc>
          <w:tcPr>
            <w:tcW w:w="400" w:type="pct"/>
          </w:tcPr>
          <w:p w14:paraId="30D5F818" w14:textId="77777777" w:rsidR="0039109B" w:rsidRPr="000549DA" w:rsidRDefault="0039109B" w:rsidP="00A24A7D">
            <w:pPr>
              <w:jc w:val="center"/>
            </w:pPr>
          </w:p>
        </w:tc>
        <w:tc>
          <w:tcPr>
            <w:tcW w:w="155" w:type="pct"/>
            <w:gridSpan w:val="2"/>
          </w:tcPr>
          <w:p w14:paraId="1B9B7AFA" w14:textId="77777777" w:rsidR="0039109B" w:rsidRPr="000549DA" w:rsidRDefault="0039109B" w:rsidP="00A24A7D">
            <w:pPr>
              <w:jc w:val="center"/>
            </w:pPr>
          </w:p>
        </w:tc>
        <w:tc>
          <w:tcPr>
            <w:tcW w:w="154" w:type="pct"/>
            <w:gridSpan w:val="2"/>
          </w:tcPr>
          <w:p w14:paraId="36C97C86" w14:textId="77777777" w:rsidR="0039109B" w:rsidRPr="000549DA" w:rsidRDefault="0039109B" w:rsidP="00A24A7D">
            <w:pPr>
              <w:jc w:val="center"/>
            </w:pPr>
          </w:p>
        </w:tc>
        <w:tc>
          <w:tcPr>
            <w:tcW w:w="157" w:type="pct"/>
            <w:gridSpan w:val="2"/>
          </w:tcPr>
          <w:p w14:paraId="6ABAE0E4" w14:textId="77777777" w:rsidR="0039109B" w:rsidRPr="0088618D" w:rsidRDefault="0039109B" w:rsidP="00A24A7D">
            <w:pPr>
              <w:jc w:val="center"/>
            </w:pPr>
          </w:p>
        </w:tc>
        <w:tc>
          <w:tcPr>
            <w:tcW w:w="157" w:type="pct"/>
            <w:gridSpan w:val="2"/>
          </w:tcPr>
          <w:p w14:paraId="1E527E38" w14:textId="77777777" w:rsidR="0039109B" w:rsidRPr="0088618D" w:rsidRDefault="0039109B" w:rsidP="00A24A7D">
            <w:pPr>
              <w:jc w:val="center"/>
            </w:pPr>
          </w:p>
        </w:tc>
        <w:tc>
          <w:tcPr>
            <w:tcW w:w="157" w:type="pct"/>
            <w:gridSpan w:val="2"/>
          </w:tcPr>
          <w:p w14:paraId="5DC0F9B1" w14:textId="77777777" w:rsidR="0039109B" w:rsidRPr="0088618D" w:rsidRDefault="0039109B" w:rsidP="00A24A7D">
            <w:pPr>
              <w:jc w:val="center"/>
            </w:pPr>
          </w:p>
        </w:tc>
        <w:tc>
          <w:tcPr>
            <w:tcW w:w="157" w:type="pct"/>
            <w:gridSpan w:val="2"/>
          </w:tcPr>
          <w:p w14:paraId="4F37E2DA" w14:textId="77777777" w:rsidR="0039109B" w:rsidRPr="0088618D" w:rsidRDefault="0039109B" w:rsidP="00A24A7D">
            <w:pPr>
              <w:jc w:val="center"/>
            </w:pPr>
          </w:p>
        </w:tc>
        <w:tc>
          <w:tcPr>
            <w:tcW w:w="157" w:type="pct"/>
            <w:gridSpan w:val="2"/>
          </w:tcPr>
          <w:p w14:paraId="2E06A016" w14:textId="77777777" w:rsidR="0039109B" w:rsidRPr="0088618D" w:rsidRDefault="0039109B" w:rsidP="00A24A7D">
            <w:pPr>
              <w:jc w:val="center"/>
            </w:pPr>
          </w:p>
        </w:tc>
        <w:tc>
          <w:tcPr>
            <w:tcW w:w="157" w:type="pct"/>
            <w:gridSpan w:val="2"/>
          </w:tcPr>
          <w:p w14:paraId="4F382C21" w14:textId="77777777" w:rsidR="0039109B" w:rsidRPr="0088618D" w:rsidRDefault="0039109B" w:rsidP="00A24A7D">
            <w:pPr>
              <w:jc w:val="center"/>
            </w:pPr>
          </w:p>
        </w:tc>
        <w:tc>
          <w:tcPr>
            <w:tcW w:w="157" w:type="pct"/>
            <w:gridSpan w:val="2"/>
          </w:tcPr>
          <w:p w14:paraId="3901DA69" w14:textId="77777777" w:rsidR="0039109B" w:rsidRPr="0088618D" w:rsidRDefault="0039109B" w:rsidP="00A24A7D">
            <w:pPr>
              <w:jc w:val="center"/>
            </w:pPr>
          </w:p>
        </w:tc>
        <w:tc>
          <w:tcPr>
            <w:tcW w:w="188" w:type="pct"/>
            <w:gridSpan w:val="2"/>
          </w:tcPr>
          <w:p w14:paraId="1724C19E" w14:textId="77777777" w:rsidR="0039109B" w:rsidRPr="0088618D" w:rsidRDefault="0039109B" w:rsidP="00A24A7D">
            <w:pPr>
              <w:jc w:val="center"/>
            </w:pPr>
          </w:p>
        </w:tc>
        <w:tc>
          <w:tcPr>
            <w:tcW w:w="188" w:type="pct"/>
            <w:gridSpan w:val="2"/>
          </w:tcPr>
          <w:p w14:paraId="78248B35" w14:textId="77777777" w:rsidR="0039109B" w:rsidRPr="0088618D" w:rsidRDefault="0039109B" w:rsidP="00A24A7D">
            <w:pPr>
              <w:jc w:val="center"/>
            </w:pPr>
          </w:p>
        </w:tc>
        <w:tc>
          <w:tcPr>
            <w:tcW w:w="158" w:type="pct"/>
          </w:tcPr>
          <w:p w14:paraId="2CFD7507" w14:textId="77777777" w:rsidR="0039109B" w:rsidRPr="0088618D" w:rsidRDefault="0039109B" w:rsidP="00A24A7D">
            <w:pPr>
              <w:jc w:val="center"/>
            </w:pPr>
          </w:p>
        </w:tc>
        <w:tc>
          <w:tcPr>
            <w:tcW w:w="190" w:type="pct"/>
            <w:gridSpan w:val="2"/>
          </w:tcPr>
          <w:p w14:paraId="127F624A" w14:textId="77777777" w:rsidR="0039109B" w:rsidRPr="0088618D" w:rsidRDefault="0039109B" w:rsidP="00A24A7D">
            <w:pPr>
              <w:jc w:val="center"/>
            </w:pPr>
          </w:p>
        </w:tc>
        <w:tc>
          <w:tcPr>
            <w:tcW w:w="193" w:type="pct"/>
            <w:gridSpan w:val="2"/>
          </w:tcPr>
          <w:p w14:paraId="3BEA7511" w14:textId="77777777" w:rsidR="0039109B" w:rsidRPr="0088618D" w:rsidRDefault="0039109B" w:rsidP="00A24A7D">
            <w:pPr>
              <w:jc w:val="center"/>
            </w:pPr>
          </w:p>
        </w:tc>
      </w:tr>
      <w:tr w:rsidR="00B31B14" w:rsidRPr="0088618D" w14:paraId="57A65C47" w14:textId="77777777" w:rsidTr="0074275D">
        <w:tc>
          <w:tcPr>
            <w:tcW w:w="1660" w:type="pct"/>
          </w:tcPr>
          <w:p w14:paraId="28EF82BA" w14:textId="77777777" w:rsidR="0039109B" w:rsidRPr="0088618D" w:rsidRDefault="0039109B" w:rsidP="00A24A7D">
            <w:pPr>
              <w:rPr>
                <w:color w:val="4F81BD" w:themeColor="accent1"/>
              </w:rPr>
            </w:pPr>
            <w:r w:rsidRPr="0088618D">
              <w:rPr>
                <w:color w:val="4F81BD" w:themeColor="accent1"/>
              </w:rPr>
              <w:t>[Enter text]</w:t>
            </w:r>
          </w:p>
        </w:tc>
        <w:tc>
          <w:tcPr>
            <w:tcW w:w="615" w:type="pct"/>
          </w:tcPr>
          <w:p w14:paraId="0776EE9E" w14:textId="77777777" w:rsidR="0039109B" w:rsidRPr="0088618D" w:rsidRDefault="0039109B" w:rsidP="00A24A7D">
            <w:pPr>
              <w:jc w:val="center"/>
            </w:pPr>
          </w:p>
        </w:tc>
        <w:tc>
          <w:tcPr>
            <w:tcW w:w="400" w:type="pct"/>
          </w:tcPr>
          <w:p w14:paraId="78ACDD17" w14:textId="77777777" w:rsidR="0039109B" w:rsidRPr="000549DA" w:rsidRDefault="0039109B" w:rsidP="00A24A7D">
            <w:pPr>
              <w:jc w:val="center"/>
            </w:pPr>
          </w:p>
        </w:tc>
        <w:tc>
          <w:tcPr>
            <w:tcW w:w="155" w:type="pct"/>
            <w:gridSpan w:val="2"/>
          </w:tcPr>
          <w:p w14:paraId="1AAAB651" w14:textId="77777777" w:rsidR="0039109B" w:rsidRPr="000549DA" w:rsidRDefault="0039109B" w:rsidP="00A24A7D">
            <w:pPr>
              <w:jc w:val="center"/>
            </w:pPr>
          </w:p>
        </w:tc>
        <w:tc>
          <w:tcPr>
            <w:tcW w:w="154" w:type="pct"/>
            <w:gridSpan w:val="2"/>
          </w:tcPr>
          <w:p w14:paraId="2220F7C0" w14:textId="77777777" w:rsidR="0039109B" w:rsidRPr="000549DA" w:rsidRDefault="0039109B" w:rsidP="00A24A7D">
            <w:pPr>
              <w:jc w:val="center"/>
            </w:pPr>
          </w:p>
        </w:tc>
        <w:tc>
          <w:tcPr>
            <w:tcW w:w="157" w:type="pct"/>
            <w:gridSpan w:val="2"/>
          </w:tcPr>
          <w:p w14:paraId="65CD4EAC" w14:textId="77777777" w:rsidR="0039109B" w:rsidRPr="0088618D" w:rsidRDefault="0039109B" w:rsidP="00A24A7D">
            <w:pPr>
              <w:jc w:val="center"/>
            </w:pPr>
          </w:p>
        </w:tc>
        <w:tc>
          <w:tcPr>
            <w:tcW w:w="157" w:type="pct"/>
            <w:gridSpan w:val="2"/>
          </w:tcPr>
          <w:p w14:paraId="10501918" w14:textId="77777777" w:rsidR="0039109B" w:rsidRPr="0088618D" w:rsidRDefault="0039109B" w:rsidP="00A24A7D">
            <w:pPr>
              <w:jc w:val="center"/>
            </w:pPr>
          </w:p>
        </w:tc>
        <w:tc>
          <w:tcPr>
            <w:tcW w:w="157" w:type="pct"/>
            <w:gridSpan w:val="2"/>
          </w:tcPr>
          <w:p w14:paraId="6BDF63D1" w14:textId="77777777" w:rsidR="0039109B" w:rsidRPr="0088618D" w:rsidRDefault="0039109B" w:rsidP="00A24A7D">
            <w:pPr>
              <w:jc w:val="center"/>
            </w:pPr>
          </w:p>
        </w:tc>
        <w:tc>
          <w:tcPr>
            <w:tcW w:w="157" w:type="pct"/>
            <w:gridSpan w:val="2"/>
          </w:tcPr>
          <w:p w14:paraId="7405284F" w14:textId="77777777" w:rsidR="0039109B" w:rsidRPr="0088618D" w:rsidRDefault="0039109B" w:rsidP="00A24A7D">
            <w:pPr>
              <w:jc w:val="center"/>
            </w:pPr>
          </w:p>
        </w:tc>
        <w:tc>
          <w:tcPr>
            <w:tcW w:w="157" w:type="pct"/>
            <w:gridSpan w:val="2"/>
          </w:tcPr>
          <w:p w14:paraId="04E84162" w14:textId="77777777" w:rsidR="0039109B" w:rsidRPr="0088618D" w:rsidRDefault="0039109B" w:rsidP="00A24A7D">
            <w:pPr>
              <w:jc w:val="center"/>
            </w:pPr>
          </w:p>
        </w:tc>
        <w:tc>
          <w:tcPr>
            <w:tcW w:w="157" w:type="pct"/>
            <w:gridSpan w:val="2"/>
          </w:tcPr>
          <w:p w14:paraId="5D21089E" w14:textId="77777777" w:rsidR="0039109B" w:rsidRPr="0088618D" w:rsidRDefault="0039109B" w:rsidP="00A24A7D">
            <w:pPr>
              <w:jc w:val="center"/>
            </w:pPr>
          </w:p>
        </w:tc>
        <w:tc>
          <w:tcPr>
            <w:tcW w:w="157" w:type="pct"/>
            <w:gridSpan w:val="2"/>
          </w:tcPr>
          <w:p w14:paraId="57548231" w14:textId="77777777" w:rsidR="0039109B" w:rsidRPr="0088618D" w:rsidRDefault="0039109B" w:rsidP="00A24A7D">
            <w:pPr>
              <w:jc w:val="center"/>
            </w:pPr>
          </w:p>
        </w:tc>
        <w:tc>
          <w:tcPr>
            <w:tcW w:w="188" w:type="pct"/>
            <w:gridSpan w:val="2"/>
          </w:tcPr>
          <w:p w14:paraId="6013881C" w14:textId="77777777" w:rsidR="0039109B" w:rsidRPr="0088618D" w:rsidRDefault="0039109B" w:rsidP="00A24A7D">
            <w:pPr>
              <w:jc w:val="center"/>
            </w:pPr>
          </w:p>
        </w:tc>
        <w:tc>
          <w:tcPr>
            <w:tcW w:w="188" w:type="pct"/>
            <w:gridSpan w:val="2"/>
          </w:tcPr>
          <w:p w14:paraId="6859931B" w14:textId="77777777" w:rsidR="0039109B" w:rsidRPr="0088618D" w:rsidRDefault="0039109B" w:rsidP="00A24A7D">
            <w:pPr>
              <w:jc w:val="center"/>
            </w:pPr>
          </w:p>
        </w:tc>
        <w:tc>
          <w:tcPr>
            <w:tcW w:w="158" w:type="pct"/>
          </w:tcPr>
          <w:p w14:paraId="4F6D5317" w14:textId="77777777" w:rsidR="0039109B" w:rsidRPr="0088618D" w:rsidRDefault="0039109B" w:rsidP="00A24A7D">
            <w:pPr>
              <w:jc w:val="center"/>
            </w:pPr>
          </w:p>
        </w:tc>
        <w:tc>
          <w:tcPr>
            <w:tcW w:w="190" w:type="pct"/>
            <w:gridSpan w:val="2"/>
          </w:tcPr>
          <w:p w14:paraId="301982DB" w14:textId="77777777" w:rsidR="0039109B" w:rsidRPr="0088618D" w:rsidRDefault="0039109B" w:rsidP="00A24A7D">
            <w:pPr>
              <w:jc w:val="center"/>
            </w:pPr>
          </w:p>
        </w:tc>
        <w:tc>
          <w:tcPr>
            <w:tcW w:w="193" w:type="pct"/>
            <w:gridSpan w:val="2"/>
          </w:tcPr>
          <w:p w14:paraId="5DBDDBCE" w14:textId="77777777" w:rsidR="0039109B" w:rsidRPr="0088618D" w:rsidRDefault="0039109B" w:rsidP="00A24A7D">
            <w:pPr>
              <w:jc w:val="center"/>
            </w:pPr>
          </w:p>
        </w:tc>
      </w:tr>
      <w:tr w:rsidR="00B31B14" w:rsidRPr="0088618D" w14:paraId="2AD345F2" w14:textId="77777777" w:rsidTr="0074275D">
        <w:tc>
          <w:tcPr>
            <w:tcW w:w="1660" w:type="pct"/>
          </w:tcPr>
          <w:p w14:paraId="242F05F5" w14:textId="77777777" w:rsidR="0039109B" w:rsidRPr="0088618D" w:rsidRDefault="0039109B" w:rsidP="00A24A7D">
            <w:pPr>
              <w:rPr>
                <w:color w:val="4F81BD" w:themeColor="accent1"/>
              </w:rPr>
            </w:pPr>
            <w:r w:rsidRPr="0088618D">
              <w:rPr>
                <w:color w:val="4F81BD" w:themeColor="accent1"/>
              </w:rPr>
              <w:t>[Enter text]</w:t>
            </w:r>
          </w:p>
        </w:tc>
        <w:tc>
          <w:tcPr>
            <w:tcW w:w="615" w:type="pct"/>
          </w:tcPr>
          <w:p w14:paraId="3B044CA4" w14:textId="77777777" w:rsidR="0039109B" w:rsidRPr="0088618D" w:rsidRDefault="0039109B" w:rsidP="00A24A7D">
            <w:pPr>
              <w:jc w:val="center"/>
            </w:pPr>
          </w:p>
        </w:tc>
        <w:tc>
          <w:tcPr>
            <w:tcW w:w="400" w:type="pct"/>
          </w:tcPr>
          <w:p w14:paraId="2EFCF1BE" w14:textId="77777777" w:rsidR="0039109B" w:rsidRPr="000549DA" w:rsidRDefault="0039109B" w:rsidP="00A24A7D">
            <w:pPr>
              <w:jc w:val="center"/>
            </w:pPr>
          </w:p>
        </w:tc>
        <w:tc>
          <w:tcPr>
            <w:tcW w:w="155" w:type="pct"/>
            <w:gridSpan w:val="2"/>
          </w:tcPr>
          <w:p w14:paraId="38D2C869" w14:textId="77777777" w:rsidR="0039109B" w:rsidRPr="000549DA" w:rsidRDefault="0039109B" w:rsidP="00A24A7D">
            <w:pPr>
              <w:jc w:val="center"/>
            </w:pPr>
          </w:p>
        </w:tc>
        <w:tc>
          <w:tcPr>
            <w:tcW w:w="154" w:type="pct"/>
            <w:gridSpan w:val="2"/>
          </w:tcPr>
          <w:p w14:paraId="095F3B71" w14:textId="77777777" w:rsidR="0039109B" w:rsidRPr="000549DA" w:rsidRDefault="0039109B" w:rsidP="00A24A7D">
            <w:pPr>
              <w:jc w:val="center"/>
            </w:pPr>
          </w:p>
        </w:tc>
        <w:tc>
          <w:tcPr>
            <w:tcW w:w="157" w:type="pct"/>
            <w:gridSpan w:val="2"/>
          </w:tcPr>
          <w:p w14:paraId="2578029E" w14:textId="77777777" w:rsidR="0039109B" w:rsidRPr="0088618D" w:rsidRDefault="0039109B" w:rsidP="00A24A7D">
            <w:pPr>
              <w:jc w:val="center"/>
            </w:pPr>
          </w:p>
        </w:tc>
        <w:tc>
          <w:tcPr>
            <w:tcW w:w="157" w:type="pct"/>
            <w:gridSpan w:val="2"/>
          </w:tcPr>
          <w:p w14:paraId="08093374" w14:textId="77777777" w:rsidR="0039109B" w:rsidRPr="0088618D" w:rsidRDefault="0039109B" w:rsidP="00A24A7D">
            <w:pPr>
              <w:jc w:val="center"/>
            </w:pPr>
          </w:p>
        </w:tc>
        <w:tc>
          <w:tcPr>
            <w:tcW w:w="157" w:type="pct"/>
            <w:gridSpan w:val="2"/>
          </w:tcPr>
          <w:p w14:paraId="6407AAA0" w14:textId="77777777" w:rsidR="0039109B" w:rsidRPr="0088618D" w:rsidRDefault="0039109B" w:rsidP="00A24A7D">
            <w:pPr>
              <w:jc w:val="center"/>
            </w:pPr>
          </w:p>
        </w:tc>
        <w:tc>
          <w:tcPr>
            <w:tcW w:w="157" w:type="pct"/>
            <w:gridSpan w:val="2"/>
          </w:tcPr>
          <w:p w14:paraId="1529B2E4" w14:textId="77777777" w:rsidR="0039109B" w:rsidRPr="0088618D" w:rsidRDefault="0039109B" w:rsidP="00A24A7D">
            <w:pPr>
              <w:jc w:val="center"/>
            </w:pPr>
          </w:p>
        </w:tc>
        <w:tc>
          <w:tcPr>
            <w:tcW w:w="157" w:type="pct"/>
            <w:gridSpan w:val="2"/>
          </w:tcPr>
          <w:p w14:paraId="7BC0847B" w14:textId="77777777" w:rsidR="0039109B" w:rsidRPr="0088618D" w:rsidRDefault="0039109B" w:rsidP="00A24A7D">
            <w:pPr>
              <w:jc w:val="center"/>
            </w:pPr>
          </w:p>
        </w:tc>
        <w:tc>
          <w:tcPr>
            <w:tcW w:w="157" w:type="pct"/>
            <w:gridSpan w:val="2"/>
          </w:tcPr>
          <w:p w14:paraId="23A7509B" w14:textId="77777777" w:rsidR="0039109B" w:rsidRPr="0088618D" w:rsidRDefault="0039109B" w:rsidP="00A24A7D">
            <w:pPr>
              <w:jc w:val="center"/>
            </w:pPr>
          </w:p>
        </w:tc>
        <w:tc>
          <w:tcPr>
            <w:tcW w:w="157" w:type="pct"/>
            <w:gridSpan w:val="2"/>
          </w:tcPr>
          <w:p w14:paraId="64CC0FC4" w14:textId="77777777" w:rsidR="0039109B" w:rsidRPr="0088618D" w:rsidRDefault="0039109B" w:rsidP="00A24A7D">
            <w:pPr>
              <w:jc w:val="center"/>
            </w:pPr>
          </w:p>
        </w:tc>
        <w:tc>
          <w:tcPr>
            <w:tcW w:w="188" w:type="pct"/>
            <w:gridSpan w:val="2"/>
          </w:tcPr>
          <w:p w14:paraId="0385BAA8" w14:textId="77777777" w:rsidR="0039109B" w:rsidRPr="0088618D" w:rsidRDefault="0039109B" w:rsidP="00A24A7D">
            <w:pPr>
              <w:jc w:val="center"/>
            </w:pPr>
          </w:p>
        </w:tc>
        <w:tc>
          <w:tcPr>
            <w:tcW w:w="188" w:type="pct"/>
            <w:gridSpan w:val="2"/>
          </w:tcPr>
          <w:p w14:paraId="3C567A73" w14:textId="77777777" w:rsidR="0039109B" w:rsidRPr="0088618D" w:rsidRDefault="0039109B" w:rsidP="00A24A7D">
            <w:pPr>
              <w:jc w:val="center"/>
            </w:pPr>
          </w:p>
        </w:tc>
        <w:tc>
          <w:tcPr>
            <w:tcW w:w="158" w:type="pct"/>
          </w:tcPr>
          <w:p w14:paraId="5CA46930" w14:textId="77777777" w:rsidR="0039109B" w:rsidRPr="0088618D" w:rsidRDefault="0039109B" w:rsidP="00A24A7D">
            <w:pPr>
              <w:jc w:val="center"/>
            </w:pPr>
          </w:p>
        </w:tc>
        <w:tc>
          <w:tcPr>
            <w:tcW w:w="190" w:type="pct"/>
            <w:gridSpan w:val="2"/>
          </w:tcPr>
          <w:p w14:paraId="2A64475B" w14:textId="77777777" w:rsidR="0039109B" w:rsidRPr="0088618D" w:rsidRDefault="0039109B" w:rsidP="00A24A7D">
            <w:pPr>
              <w:jc w:val="center"/>
            </w:pPr>
          </w:p>
        </w:tc>
        <w:tc>
          <w:tcPr>
            <w:tcW w:w="193" w:type="pct"/>
            <w:gridSpan w:val="2"/>
          </w:tcPr>
          <w:p w14:paraId="64123DA1" w14:textId="77777777" w:rsidR="0039109B" w:rsidRPr="0088618D" w:rsidRDefault="0039109B" w:rsidP="00A24A7D">
            <w:pPr>
              <w:jc w:val="center"/>
            </w:pPr>
          </w:p>
        </w:tc>
      </w:tr>
      <w:tr w:rsidR="00D501E7" w:rsidRPr="00896A66" w14:paraId="599048F8" w14:textId="77777777" w:rsidTr="0074275D">
        <w:tc>
          <w:tcPr>
            <w:tcW w:w="5000" w:type="pct"/>
            <w:gridSpan w:val="30"/>
            <w:shd w:val="clear" w:color="auto" w:fill="D9D9D9" w:themeFill="background1" w:themeFillShade="D9"/>
          </w:tcPr>
          <w:p w14:paraId="378DE4D3" w14:textId="77777777" w:rsidR="00D501E7" w:rsidRPr="0088618D" w:rsidRDefault="00D501E7" w:rsidP="00D501E7">
            <w:pPr>
              <w:rPr>
                <w:i/>
                <w:iCs/>
                <w:color w:val="1F497D" w:themeColor="text2"/>
              </w:rPr>
            </w:pPr>
            <w:r w:rsidRPr="0088618D">
              <w:rPr>
                <w:b/>
                <w:i/>
              </w:rPr>
              <w:t>Renewals</w:t>
            </w:r>
          </w:p>
        </w:tc>
      </w:tr>
      <w:tr w:rsidR="00B31B14" w:rsidRPr="00896A66" w14:paraId="367F6EEB" w14:textId="77777777" w:rsidTr="0074275D">
        <w:tc>
          <w:tcPr>
            <w:tcW w:w="1660" w:type="pct"/>
          </w:tcPr>
          <w:p w14:paraId="0F4C3587" w14:textId="77777777" w:rsidR="00D501E7" w:rsidRPr="0088618D" w:rsidRDefault="00D501E7" w:rsidP="00D501E7">
            <w:bookmarkStart w:id="5" w:name="_Hlk84496110"/>
            <w:r w:rsidRPr="0088618D">
              <w:rPr>
                <w:color w:val="4F81BD" w:themeColor="accent1"/>
              </w:rPr>
              <w:t>[Enter text]</w:t>
            </w:r>
          </w:p>
        </w:tc>
        <w:tc>
          <w:tcPr>
            <w:tcW w:w="615" w:type="pct"/>
          </w:tcPr>
          <w:p w14:paraId="79AE30F0" w14:textId="77777777" w:rsidR="00D501E7" w:rsidRPr="0088618D" w:rsidRDefault="00D501E7" w:rsidP="00D501E7">
            <w:pPr>
              <w:jc w:val="center"/>
            </w:pPr>
          </w:p>
        </w:tc>
        <w:tc>
          <w:tcPr>
            <w:tcW w:w="400" w:type="pct"/>
          </w:tcPr>
          <w:p w14:paraId="6128CBCD" w14:textId="77777777" w:rsidR="00D501E7" w:rsidRPr="000549DA" w:rsidRDefault="00D501E7" w:rsidP="00D501E7">
            <w:pPr>
              <w:jc w:val="center"/>
            </w:pPr>
          </w:p>
        </w:tc>
        <w:tc>
          <w:tcPr>
            <w:tcW w:w="155" w:type="pct"/>
            <w:gridSpan w:val="2"/>
          </w:tcPr>
          <w:p w14:paraId="751F6B29" w14:textId="77777777" w:rsidR="00D501E7" w:rsidRPr="000549DA" w:rsidRDefault="00D501E7" w:rsidP="00D501E7">
            <w:pPr>
              <w:jc w:val="center"/>
            </w:pPr>
          </w:p>
        </w:tc>
        <w:tc>
          <w:tcPr>
            <w:tcW w:w="154" w:type="pct"/>
            <w:gridSpan w:val="2"/>
          </w:tcPr>
          <w:p w14:paraId="2A987088" w14:textId="0037363F" w:rsidR="00D501E7" w:rsidRPr="000549DA" w:rsidRDefault="00D501E7" w:rsidP="00D501E7">
            <w:pPr>
              <w:jc w:val="center"/>
            </w:pPr>
          </w:p>
        </w:tc>
        <w:tc>
          <w:tcPr>
            <w:tcW w:w="157" w:type="pct"/>
            <w:gridSpan w:val="2"/>
          </w:tcPr>
          <w:p w14:paraId="3521E94C" w14:textId="77777777" w:rsidR="00D501E7" w:rsidRPr="0088618D" w:rsidRDefault="00D501E7" w:rsidP="00D501E7">
            <w:pPr>
              <w:jc w:val="center"/>
            </w:pPr>
          </w:p>
        </w:tc>
        <w:tc>
          <w:tcPr>
            <w:tcW w:w="157" w:type="pct"/>
            <w:gridSpan w:val="2"/>
          </w:tcPr>
          <w:p w14:paraId="70FFE4EB" w14:textId="77777777" w:rsidR="00D501E7" w:rsidRPr="0088618D" w:rsidRDefault="00D501E7" w:rsidP="00D501E7">
            <w:pPr>
              <w:jc w:val="center"/>
            </w:pPr>
          </w:p>
        </w:tc>
        <w:tc>
          <w:tcPr>
            <w:tcW w:w="157" w:type="pct"/>
            <w:gridSpan w:val="2"/>
          </w:tcPr>
          <w:p w14:paraId="23FE032F" w14:textId="77777777" w:rsidR="00D501E7" w:rsidRPr="0088618D" w:rsidRDefault="00D501E7" w:rsidP="00D501E7">
            <w:pPr>
              <w:jc w:val="center"/>
            </w:pPr>
          </w:p>
        </w:tc>
        <w:tc>
          <w:tcPr>
            <w:tcW w:w="157" w:type="pct"/>
            <w:gridSpan w:val="2"/>
          </w:tcPr>
          <w:p w14:paraId="62CCE6A2" w14:textId="77777777" w:rsidR="00D501E7" w:rsidRPr="0088618D" w:rsidRDefault="00D501E7" w:rsidP="00D501E7">
            <w:pPr>
              <w:jc w:val="center"/>
            </w:pPr>
          </w:p>
        </w:tc>
        <w:tc>
          <w:tcPr>
            <w:tcW w:w="157" w:type="pct"/>
            <w:gridSpan w:val="2"/>
          </w:tcPr>
          <w:p w14:paraId="69B8B668" w14:textId="77777777" w:rsidR="00D501E7" w:rsidRPr="0088618D" w:rsidRDefault="00D501E7" w:rsidP="00D501E7">
            <w:pPr>
              <w:jc w:val="center"/>
            </w:pPr>
          </w:p>
        </w:tc>
        <w:tc>
          <w:tcPr>
            <w:tcW w:w="157" w:type="pct"/>
            <w:gridSpan w:val="2"/>
          </w:tcPr>
          <w:p w14:paraId="6E3AA0A6" w14:textId="77777777" w:rsidR="00D501E7" w:rsidRPr="0088618D" w:rsidRDefault="00D501E7" w:rsidP="00D501E7">
            <w:pPr>
              <w:jc w:val="center"/>
            </w:pPr>
          </w:p>
        </w:tc>
        <w:tc>
          <w:tcPr>
            <w:tcW w:w="157" w:type="pct"/>
            <w:gridSpan w:val="2"/>
          </w:tcPr>
          <w:p w14:paraId="5A31FD95" w14:textId="77777777" w:rsidR="00D501E7" w:rsidRPr="0088618D" w:rsidRDefault="00D501E7" w:rsidP="00D501E7">
            <w:pPr>
              <w:jc w:val="center"/>
            </w:pPr>
          </w:p>
        </w:tc>
        <w:tc>
          <w:tcPr>
            <w:tcW w:w="188" w:type="pct"/>
            <w:gridSpan w:val="2"/>
          </w:tcPr>
          <w:p w14:paraId="4ADA31F1" w14:textId="77777777" w:rsidR="00D501E7" w:rsidRPr="0088618D" w:rsidRDefault="00D501E7" w:rsidP="00D501E7">
            <w:pPr>
              <w:jc w:val="center"/>
            </w:pPr>
          </w:p>
        </w:tc>
        <w:tc>
          <w:tcPr>
            <w:tcW w:w="188" w:type="pct"/>
            <w:gridSpan w:val="2"/>
          </w:tcPr>
          <w:p w14:paraId="2FBACB36" w14:textId="77777777" w:rsidR="00D501E7" w:rsidRPr="0088618D" w:rsidRDefault="00D501E7" w:rsidP="00D501E7">
            <w:pPr>
              <w:jc w:val="center"/>
            </w:pPr>
          </w:p>
        </w:tc>
        <w:tc>
          <w:tcPr>
            <w:tcW w:w="158" w:type="pct"/>
          </w:tcPr>
          <w:p w14:paraId="2C12963C" w14:textId="77777777" w:rsidR="00D501E7" w:rsidRPr="0088618D" w:rsidRDefault="00D501E7" w:rsidP="00D501E7">
            <w:pPr>
              <w:jc w:val="center"/>
            </w:pPr>
          </w:p>
        </w:tc>
        <w:tc>
          <w:tcPr>
            <w:tcW w:w="190" w:type="pct"/>
            <w:gridSpan w:val="2"/>
          </w:tcPr>
          <w:p w14:paraId="601A3770" w14:textId="77777777" w:rsidR="00D501E7" w:rsidRPr="0088618D" w:rsidRDefault="00D501E7" w:rsidP="00D501E7">
            <w:pPr>
              <w:jc w:val="center"/>
            </w:pPr>
          </w:p>
        </w:tc>
        <w:tc>
          <w:tcPr>
            <w:tcW w:w="193" w:type="pct"/>
            <w:gridSpan w:val="2"/>
          </w:tcPr>
          <w:p w14:paraId="68CDB401" w14:textId="77777777" w:rsidR="00D501E7" w:rsidRPr="0088618D" w:rsidRDefault="00D501E7" w:rsidP="00D501E7">
            <w:pPr>
              <w:jc w:val="center"/>
            </w:pPr>
          </w:p>
        </w:tc>
      </w:tr>
      <w:tr w:rsidR="00B31B14" w:rsidRPr="00896A66" w14:paraId="46E77E13" w14:textId="77777777" w:rsidTr="0074275D">
        <w:tc>
          <w:tcPr>
            <w:tcW w:w="1660" w:type="pct"/>
          </w:tcPr>
          <w:p w14:paraId="51CEFE11" w14:textId="77777777" w:rsidR="00D501E7" w:rsidRPr="0088618D" w:rsidRDefault="00D501E7" w:rsidP="00D501E7">
            <w:r w:rsidRPr="0088618D">
              <w:rPr>
                <w:color w:val="4F81BD" w:themeColor="accent1"/>
              </w:rPr>
              <w:t>[Enter text]</w:t>
            </w:r>
          </w:p>
        </w:tc>
        <w:tc>
          <w:tcPr>
            <w:tcW w:w="615" w:type="pct"/>
          </w:tcPr>
          <w:p w14:paraId="0CF5C412" w14:textId="77777777" w:rsidR="00D501E7" w:rsidRPr="0088618D" w:rsidRDefault="00D501E7" w:rsidP="00D501E7">
            <w:pPr>
              <w:jc w:val="center"/>
            </w:pPr>
          </w:p>
        </w:tc>
        <w:tc>
          <w:tcPr>
            <w:tcW w:w="400" w:type="pct"/>
          </w:tcPr>
          <w:p w14:paraId="376FD06C" w14:textId="77777777" w:rsidR="00D501E7" w:rsidRPr="000549DA" w:rsidRDefault="00D501E7" w:rsidP="00D501E7">
            <w:pPr>
              <w:jc w:val="center"/>
            </w:pPr>
          </w:p>
        </w:tc>
        <w:tc>
          <w:tcPr>
            <w:tcW w:w="155" w:type="pct"/>
            <w:gridSpan w:val="2"/>
          </w:tcPr>
          <w:p w14:paraId="579B9B05" w14:textId="77777777" w:rsidR="00D501E7" w:rsidRPr="000549DA" w:rsidRDefault="00D501E7" w:rsidP="00D501E7">
            <w:pPr>
              <w:jc w:val="center"/>
            </w:pPr>
          </w:p>
        </w:tc>
        <w:tc>
          <w:tcPr>
            <w:tcW w:w="154" w:type="pct"/>
            <w:gridSpan w:val="2"/>
          </w:tcPr>
          <w:p w14:paraId="4B6F9D9C" w14:textId="2CA7AB9F" w:rsidR="00D501E7" w:rsidRPr="000549DA" w:rsidRDefault="00D501E7" w:rsidP="00D501E7">
            <w:pPr>
              <w:jc w:val="center"/>
            </w:pPr>
          </w:p>
        </w:tc>
        <w:tc>
          <w:tcPr>
            <w:tcW w:w="157" w:type="pct"/>
            <w:gridSpan w:val="2"/>
          </w:tcPr>
          <w:p w14:paraId="13FE56EC" w14:textId="77777777" w:rsidR="00D501E7" w:rsidRPr="0088618D" w:rsidRDefault="00D501E7" w:rsidP="00D501E7">
            <w:pPr>
              <w:jc w:val="center"/>
            </w:pPr>
          </w:p>
        </w:tc>
        <w:tc>
          <w:tcPr>
            <w:tcW w:w="157" w:type="pct"/>
            <w:gridSpan w:val="2"/>
          </w:tcPr>
          <w:p w14:paraId="1F5948C5" w14:textId="77777777" w:rsidR="00D501E7" w:rsidRPr="0088618D" w:rsidRDefault="00D501E7" w:rsidP="00D501E7">
            <w:pPr>
              <w:jc w:val="center"/>
            </w:pPr>
          </w:p>
        </w:tc>
        <w:tc>
          <w:tcPr>
            <w:tcW w:w="157" w:type="pct"/>
            <w:gridSpan w:val="2"/>
          </w:tcPr>
          <w:p w14:paraId="3F496769" w14:textId="77777777" w:rsidR="00D501E7" w:rsidRPr="0088618D" w:rsidRDefault="00D501E7" w:rsidP="00D501E7">
            <w:pPr>
              <w:jc w:val="center"/>
            </w:pPr>
          </w:p>
        </w:tc>
        <w:tc>
          <w:tcPr>
            <w:tcW w:w="157" w:type="pct"/>
            <w:gridSpan w:val="2"/>
          </w:tcPr>
          <w:p w14:paraId="7E1109AC" w14:textId="77777777" w:rsidR="00D501E7" w:rsidRPr="0088618D" w:rsidRDefault="00D501E7" w:rsidP="00D501E7">
            <w:pPr>
              <w:jc w:val="center"/>
            </w:pPr>
          </w:p>
        </w:tc>
        <w:tc>
          <w:tcPr>
            <w:tcW w:w="157" w:type="pct"/>
            <w:gridSpan w:val="2"/>
          </w:tcPr>
          <w:p w14:paraId="6EAD0637" w14:textId="77777777" w:rsidR="00D501E7" w:rsidRPr="0088618D" w:rsidRDefault="00D501E7" w:rsidP="00D501E7">
            <w:pPr>
              <w:jc w:val="center"/>
            </w:pPr>
          </w:p>
        </w:tc>
        <w:tc>
          <w:tcPr>
            <w:tcW w:w="157" w:type="pct"/>
            <w:gridSpan w:val="2"/>
          </w:tcPr>
          <w:p w14:paraId="7ED45A32" w14:textId="77777777" w:rsidR="00D501E7" w:rsidRPr="0088618D" w:rsidRDefault="00D501E7" w:rsidP="00D501E7">
            <w:pPr>
              <w:jc w:val="center"/>
            </w:pPr>
          </w:p>
        </w:tc>
        <w:tc>
          <w:tcPr>
            <w:tcW w:w="157" w:type="pct"/>
            <w:gridSpan w:val="2"/>
          </w:tcPr>
          <w:p w14:paraId="339537DC" w14:textId="77777777" w:rsidR="00D501E7" w:rsidRPr="0088618D" w:rsidRDefault="00D501E7" w:rsidP="00D501E7">
            <w:pPr>
              <w:jc w:val="center"/>
            </w:pPr>
          </w:p>
        </w:tc>
        <w:tc>
          <w:tcPr>
            <w:tcW w:w="188" w:type="pct"/>
            <w:gridSpan w:val="2"/>
          </w:tcPr>
          <w:p w14:paraId="7E8CCAF6" w14:textId="77777777" w:rsidR="00D501E7" w:rsidRPr="0088618D" w:rsidRDefault="00D501E7" w:rsidP="00D501E7">
            <w:pPr>
              <w:jc w:val="center"/>
            </w:pPr>
          </w:p>
        </w:tc>
        <w:tc>
          <w:tcPr>
            <w:tcW w:w="188" w:type="pct"/>
            <w:gridSpan w:val="2"/>
          </w:tcPr>
          <w:p w14:paraId="7A53299D" w14:textId="77777777" w:rsidR="00D501E7" w:rsidRPr="0088618D" w:rsidRDefault="00D501E7" w:rsidP="00D501E7">
            <w:pPr>
              <w:jc w:val="center"/>
            </w:pPr>
          </w:p>
        </w:tc>
        <w:tc>
          <w:tcPr>
            <w:tcW w:w="158" w:type="pct"/>
          </w:tcPr>
          <w:p w14:paraId="63705BC0" w14:textId="77777777" w:rsidR="00D501E7" w:rsidRPr="0088618D" w:rsidRDefault="00D501E7" w:rsidP="00D501E7">
            <w:pPr>
              <w:jc w:val="center"/>
            </w:pPr>
          </w:p>
        </w:tc>
        <w:tc>
          <w:tcPr>
            <w:tcW w:w="190" w:type="pct"/>
            <w:gridSpan w:val="2"/>
          </w:tcPr>
          <w:p w14:paraId="687CCE5B" w14:textId="77777777" w:rsidR="00D501E7" w:rsidRPr="0088618D" w:rsidRDefault="00D501E7" w:rsidP="00D501E7">
            <w:pPr>
              <w:jc w:val="center"/>
            </w:pPr>
          </w:p>
        </w:tc>
        <w:tc>
          <w:tcPr>
            <w:tcW w:w="193" w:type="pct"/>
            <w:gridSpan w:val="2"/>
          </w:tcPr>
          <w:p w14:paraId="170571B2" w14:textId="77777777" w:rsidR="00D501E7" w:rsidRPr="0088618D" w:rsidRDefault="00D501E7" w:rsidP="00D501E7">
            <w:pPr>
              <w:jc w:val="center"/>
            </w:pPr>
          </w:p>
        </w:tc>
      </w:tr>
      <w:tr w:rsidR="00B31B14" w:rsidRPr="00896A66" w14:paraId="20136D72" w14:textId="77777777" w:rsidTr="0074275D">
        <w:tc>
          <w:tcPr>
            <w:tcW w:w="1660" w:type="pct"/>
          </w:tcPr>
          <w:p w14:paraId="39DC7286" w14:textId="77777777" w:rsidR="00D501E7" w:rsidRPr="0088618D" w:rsidRDefault="00D501E7" w:rsidP="00D501E7">
            <w:pPr>
              <w:rPr>
                <w:color w:val="4F81BD" w:themeColor="accent1"/>
              </w:rPr>
            </w:pPr>
            <w:r w:rsidRPr="0088618D">
              <w:rPr>
                <w:color w:val="4F81BD" w:themeColor="accent1"/>
              </w:rPr>
              <w:t>[Enter text]</w:t>
            </w:r>
          </w:p>
        </w:tc>
        <w:tc>
          <w:tcPr>
            <w:tcW w:w="615" w:type="pct"/>
          </w:tcPr>
          <w:p w14:paraId="59224D6E" w14:textId="77777777" w:rsidR="00D501E7" w:rsidRPr="0088618D" w:rsidRDefault="00D501E7" w:rsidP="00D501E7">
            <w:pPr>
              <w:jc w:val="center"/>
            </w:pPr>
          </w:p>
        </w:tc>
        <w:tc>
          <w:tcPr>
            <w:tcW w:w="400" w:type="pct"/>
          </w:tcPr>
          <w:p w14:paraId="4596FC98" w14:textId="77777777" w:rsidR="00D501E7" w:rsidRPr="000549DA" w:rsidRDefault="00D501E7" w:rsidP="00D501E7">
            <w:pPr>
              <w:jc w:val="center"/>
            </w:pPr>
          </w:p>
        </w:tc>
        <w:tc>
          <w:tcPr>
            <w:tcW w:w="155" w:type="pct"/>
            <w:gridSpan w:val="2"/>
          </w:tcPr>
          <w:p w14:paraId="4C653B5E" w14:textId="77777777" w:rsidR="00D501E7" w:rsidRPr="000549DA" w:rsidRDefault="00D501E7" w:rsidP="00D501E7">
            <w:pPr>
              <w:jc w:val="center"/>
            </w:pPr>
          </w:p>
        </w:tc>
        <w:tc>
          <w:tcPr>
            <w:tcW w:w="154" w:type="pct"/>
            <w:gridSpan w:val="2"/>
          </w:tcPr>
          <w:p w14:paraId="14014B22" w14:textId="49FB37C2" w:rsidR="00D501E7" w:rsidRPr="000549DA" w:rsidRDefault="00D501E7" w:rsidP="00D501E7">
            <w:pPr>
              <w:jc w:val="center"/>
            </w:pPr>
          </w:p>
        </w:tc>
        <w:tc>
          <w:tcPr>
            <w:tcW w:w="157" w:type="pct"/>
            <w:gridSpan w:val="2"/>
          </w:tcPr>
          <w:p w14:paraId="10AC067C" w14:textId="77777777" w:rsidR="00D501E7" w:rsidRPr="0088618D" w:rsidRDefault="00D501E7" w:rsidP="00D501E7">
            <w:pPr>
              <w:jc w:val="center"/>
            </w:pPr>
          </w:p>
        </w:tc>
        <w:tc>
          <w:tcPr>
            <w:tcW w:w="157" w:type="pct"/>
            <w:gridSpan w:val="2"/>
          </w:tcPr>
          <w:p w14:paraId="32818031" w14:textId="77777777" w:rsidR="00D501E7" w:rsidRPr="0088618D" w:rsidRDefault="00D501E7" w:rsidP="00D501E7">
            <w:pPr>
              <w:jc w:val="center"/>
            </w:pPr>
          </w:p>
        </w:tc>
        <w:tc>
          <w:tcPr>
            <w:tcW w:w="157" w:type="pct"/>
            <w:gridSpan w:val="2"/>
          </w:tcPr>
          <w:p w14:paraId="2D1F93AC" w14:textId="77777777" w:rsidR="00D501E7" w:rsidRPr="0088618D" w:rsidRDefault="00D501E7" w:rsidP="00D501E7">
            <w:pPr>
              <w:jc w:val="center"/>
            </w:pPr>
          </w:p>
        </w:tc>
        <w:tc>
          <w:tcPr>
            <w:tcW w:w="157" w:type="pct"/>
            <w:gridSpan w:val="2"/>
          </w:tcPr>
          <w:p w14:paraId="2F70E5FB" w14:textId="77777777" w:rsidR="00D501E7" w:rsidRPr="0088618D" w:rsidRDefault="00D501E7" w:rsidP="00D501E7">
            <w:pPr>
              <w:jc w:val="center"/>
            </w:pPr>
          </w:p>
        </w:tc>
        <w:tc>
          <w:tcPr>
            <w:tcW w:w="157" w:type="pct"/>
            <w:gridSpan w:val="2"/>
          </w:tcPr>
          <w:p w14:paraId="1933A660" w14:textId="77777777" w:rsidR="00D501E7" w:rsidRPr="0088618D" w:rsidRDefault="00D501E7" w:rsidP="00D501E7">
            <w:pPr>
              <w:jc w:val="center"/>
            </w:pPr>
          </w:p>
        </w:tc>
        <w:tc>
          <w:tcPr>
            <w:tcW w:w="157" w:type="pct"/>
            <w:gridSpan w:val="2"/>
          </w:tcPr>
          <w:p w14:paraId="6D8282B2" w14:textId="77777777" w:rsidR="00D501E7" w:rsidRPr="0088618D" w:rsidRDefault="00D501E7" w:rsidP="00D501E7">
            <w:pPr>
              <w:jc w:val="center"/>
            </w:pPr>
          </w:p>
        </w:tc>
        <w:tc>
          <w:tcPr>
            <w:tcW w:w="157" w:type="pct"/>
            <w:gridSpan w:val="2"/>
          </w:tcPr>
          <w:p w14:paraId="42DCCDFE" w14:textId="77777777" w:rsidR="00D501E7" w:rsidRPr="0088618D" w:rsidRDefault="00D501E7" w:rsidP="00D501E7">
            <w:pPr>
              <w:jc w:val="center"/>
            </w:pPr>
          </w:p>
        </w:tc>
        <w:tc>
          <w:tcPr>
            <w:tcW w:w="188" w:type="pct"/>
            <w:gridSpan w:val="2"/>
          </w:tcPr>
          <w:p w14:paraId="2BD74F55" w14:textId="77777777" w:rsidR="00D501E7" w:rsidRPr="0088618D" w:rsidRDefault="00D501E7" w:rsidP="00D501E7">
            <w:pPr>
              <w:jc w:val="center"/>
            </w:pPr>
          </w:p>
        </w:tc>
        <w:tc>
          <w:tcPr>
            <w:tcW w:w="188" w:type="pct"/>
            <w:gridSpan w:val="2"/>
          </w:tcPr>
          <w:p w14:paraId="7E0B4358" w14:textId="77777777" w:rsidR="00D501E7" w:rsidRPr="0088618D" w:rsidRDefault="00D501E7" w:rsidP="00D501E7">
            <w:pPr>
              <w:jc w:val="center"/>
            </w:pPr>
          </w:p>
        </w:tc>
        <w:tc>
          <w:tcPr>
            <w:tcW w:w="158" w:type="pct"/>
          </w:tcPr>
          <w:p w14:paraId="11239483" w14:textId="77777777" w:rsidR="00D501E7" w:rsidRPr="0088618D" w:rsidRDefault="00D501E7" w:rsidP="00D501E7">
            <w:pPr>
              <w:jc w:val="center"/>
            </w:pPr>
          </w:p>
        </w:tc>
        <w:tc>
          <w:tcPr>
            <w:tcW w:w="190" w:type="pct"/>
            <w:gridSpan w:val="2"/>
          </w:tcPr>
          <w:p w14:paraId="1D051DB7" w14:textId="77777777" w:rsidR="00D501E7" w:rsidRPr="0088618D" w:rsidRDefault="00D501E7" w:rsidP="00D501E7">
            <w:pPr>
              <w:jc w:val="center"/>
            </w:pPr>
          </w:p>
        </w:tc>
        <w:tc>
          <w:tcPr>
            <w:tcW w:w="193" w:type="pct"/>
            <w:gridSpan w:val="2"/>
          </w:tcPr>
          <w:p w14:paraId="6851AAD4" w14:textId="77777777" w:rsidR="00D501E7" w:rsidRPr="0088618D" w:rsidRDefault="00D501E7" w:rsidP="00D501E7">
            <w:pPr>
              <w:jc w:val="center"/>
            </w:pPr>
          </w:p>
        </w:tc>
      </w:tr>
      <w:bookmarkEnd w:id="5"/>
      <w:tr w:rsidR="00D501E7" w:rsidRPr="00896A66" w14:paraId="3C27C574" w14:textId="77777777" w:rsidTr="0074275D">
        <w:tc>
          <w:tcPr>
            <w:tcW w:w="5000" w:type="pct"/>
            <w:gridSpan w:val="30"/>
            <w:shd w:val="clear" w:color="auto" w:fill="D9D9D9" w:themeFill="background1" w:themeFillShade="D9"/>
          </w:tcPr>
          <w:p w14:paraId="245A6D81" w14:textId="77777777" w:rsidR="00D501E7" w:rsidRPr="0088618D" w:rsidRDefault="00D501E7" w:rsidP="00D501E7">
            <w:r w:rsidRPr="0088618D">
              <w:rPr>
                <w:b/>
                <w:bCs/>
                <w:i/>
                <w:iCs/>
              </w:rPr>
              <w:t>Outreach and Communications</w:t>
            </w:r>
          </w:p>
        </w:tc>
      </w:tr>
      <w:tr w:rsidR="00B31B14" w:rsidRPr="00896A66" w14:paraId="0CE76432" w14:textId="77777777" w:rsidTr="0074275D">
        <w:tc>
          <w:tcPr>
            <w:tcW w:w="1660" w:type="pct"/>
          </w:tcPr>
          <w:p w14:paraId="5CCED9F1" w14:textId="77777777" w:rsidR="00D501E7" w:rsidRPr="0088618D" w:rsidRDefault="00D501E7" w:rsidP="00D501E7">
            <w:r w:rsidRPr="0088618D">
              <w:rPr>
                <w:color w:val="4F81BD" w:themeColor="accent1"/>
              </w:rPr>
              <w:t>[Enter text]</w:t>
            </w:r>
          </w:p>
        </w:tc>
        <w:tc>
          <w:tcPr>
            <w:tcW w:w="615" w:type="pct"/>
          </w:tcPr>
          <w:p w14:paraId="068BD47C" w14:textId="77777777" w:rsidR="00D501E7" w:rsidRPr="0088618D" w:rsidRDefault="00D501E7" w:rsidP="00D501E7">
            <w:pPr>
              <w:jc w:val="center"/>
            </w:pPr>
          </w:p>
        </w:tc>
        <w:tc>
          <w:tcPr>
            <w:tcW w:w="400" w:type="pct"/>
          </w:tcPr>
          <w:p w14:paraId="4753EC1F" w14:textId="77777777" w:rsidR="00D501E7" w:rsidRPr="000549DA" w:rsidRDefault="00D501E7" w:rsidP="00D501E7">
            <w:pPr>
              <w:jc w:val="center"/>
            </w:pPr>
          </w:p>
        </w:tc>
        <w:tc>
          <w:tcPr>
            <w:tcW w:w="155" w:type="pct"/>
            <w:gridSpan w:val="2"/>
          </w:tcPr>
          <w:p w14:paraId="7996381A" w14:textId="77777777" w:rsidR="00D501E7" w:rsidRPr="000549DA" w:rsidRDefault="00D501E7" w:rsidP="00D501E7">
            <w:pPr>
              <w:jc w:val="center"/>
            </w:pPr>
          </w:p>
        </w:tc>
        <w:tc>
          <w:tcPr>
            <w:tcW w:w="154" w:type="pct"/>
            <w:gridSpan w:val="2"/>
          </w:tcPr>
          <w:p w14:paraId="3D635C09" w14:textId="7B38A662" w:rsidR="00D501E7" w:rsidRPr="000549DA" w:rsidRDefault="00D501E7" w:rsidP="00D501E7">
            <w:pPr>
              <w:jc w:val="center"/>
            </w:pPr>
          </w:p>
        </w:tc>
        <w:tc>
          <w:tcPr>
            <w:tcW w:w="157" w:type="pct"/>
            <w:gridSpan w:val="2"/>
          </w:tcPr>
          <w:p w14:paraId="27CE8795" w14:textId="77777777" w:rsidR="00D501E7" w:rsidRPr="0088618D" w:rsidRDefault="00D501E7" w:rsidP="00D501E7">
            <w:pPr>
              <w:jc w:val="center"/>
            </w:pPr>
          </w:p>
        </w:tc>
        <w:tc>
          <w:tcPr>
            <w:tcW w:w="157" w:type="pct"/>
            <w:gridSpan w:val="2"/>
          </w:tcPr>
          <w:p w14:paraId="39342F74" w14:textId="77777777" w:rsidR="00D501E7" w:rsidRPr="0088618D" w:rsidRDefault="00D501E7" w:rsidP="00D501E7">
            <w:pPr>
              <w:jc w:val="center"/>
            </w:pPr>
          </w:p>
        </w:tc>
        <w:tc>
          <w:tcPr>
            <w:tcW w:w="157" w:type="pct"/>
            <w:gridSpan w:val="2"/>
          </w:tcPr>
          <w:p w14:paraId="220D4431" w14:textId="77777777" w:rsidR="00D501E7" w:rsidRPr="0088618D" w:rsidRDefault="00D501E7" w:rsidP="00D501E7">
            <w:pPr>
              <w:jc w:val="center"/>
            </w:pPr>
          </w:p>
        </w:tc>
        <w:tc>
          <w:tcPr>
            <w:tcW w:w="157" w:type="pct"/>
            <w:gridSpan w:val="2"/>
          </w:tcPr>
          <w:p w14:paraId="71FDD77A" w14:textId="77777777" w:rsidR="00D501E7" w:rsidRPr="0088618D" w:rsidRDefault="00D501E7" w:rsidP="00D501E7">
            <w:pPr>
              <w:jc w:val="center"/>
            </w:pPr>
          </w:p>
        </w:tc>
        <w:tc>
          <w:tcPr>
            <w:tcW w:w="157" w:type="pct"/>
            <w:gridSpan w:val="2"/>
          </w:tcPr>
          <w:p w14:paraId="32404EB2" w14:textId="77777777" w:rsidR="00D501E7" w:rsidRPr="0088618D" w:rsidRDefault="00D501E7" w:rsidP="00D501E7">
            <w:pPr>
              <w:jc w:val="center"/>
            </w:pPr>
          </w:p>
        </w:tc>
        <w:tc>
          <w:tcPr>
            <w:tcW w:w="157" w:type="pct"/>
            <w:gridSpan w:val="2"/>
          </w:tcPr>
          <w:p w14:paraId="6817C160" w14:textId="77777777" w:rsidR="00D501E7" w:rsidRPr="0088618D" w:rsidRDefault="00D501E7" w:rsidP="00D501E7">
            <w:pPr>
              <w:jc w:val="center"/>
            </w:pPr>
          </w:p>
        </w:tc>
        <w:tc>
          <w:tcPr>
            <w:tcW w:w="157" w:type="pct"/>
            <w:gridSpan w:val="2"/>
          </w:tcPr>
          <w:p w14:paraId="72628159" w14:textId="77777777" w:rsidR="00D501E7" w:rsidRPr="0088618D" w:rsidRDefault="00D501E7" w:rsidP="00D501E7">
            <w:pPr>
              <w:jc w:val="center"/>
            </w:pPr>
          </w:p>
        </w:tc>
        <w:tc>
          <w:tcPr>
            <w:tcW w:w="188" w:type="pct"/>
            <w:gridSpan w:val="2"/>
          </w:tcPr>
          <w:p w14:paraId="48092EBD" w14:textId="77777777" w:rsidR="00D501E7" w:rsidRPr="0088618D" w:rsidRDefault="00D501E7" w:rsidP="00D501E7">
            <w:pPr>
              <w:jc w:val="center"/>
            </w:pPr>
          </w:p>
        </w:tc>
        <w:tc>
          <w:tcPr>
            <w:tcW w:w="188" w:type="pct"/>
            <w:gridSpan w:val="2"/>
          </w:tcPr>
          <w:p w14:paraId="2352E8CC" w14:textId="77777777" w:rsidR="00D501E7" w:rsidRPr="0088618D" w:rsidRDefault="00D501E7" w:rsidP="00D501E7">
            <w:pPr>
              <w:jc w:val="center"/>
            </w:pPr>
          </w:p>
        </w:tc>
        <w:tc>
          <w:tcPr>
            <w:tcW w:w="158" w:type="pct"/>
          </w:tcPr>
          <w:p w14:paraId="3EB98F4F" w14:textId="77777777" w:rsidR="00D501E7" w:rsidRPr="0088618D" w:rsidRDefault="00D501E7" w:rsidP="00D501E7">
            <w:pPr>
              <w:jc w:val="center"/>
            </w:pPr>
          </w:p>
        </w:tc>
        <w:tc>
          <w:tcPr>
            <w:tcW w:w="190" w:type="pct"/>
            <w:gridSpan w:val="2"/>
          </w:tcPr>
          <w:p w14:paraId="6FBBA230" w14:textId="77777777" w:rsidR="00D501E7" w:rsidRPr="0088618D" w:rsidRDefault="00D501E7" w:rsidP="00D501E7">
            <w:pPr>
              <w:jc w:val="center"/>
            </w:pPr>
          </w:p>
        </w:tc>
        <w:tc>
          <w:tcPr>
            <w:tcW w:w="193" w:type="pct"/>
            <w:gridSpan w:val="2"/>
          </w:tcPr>
          <w:p w14:paraId="0C49F923" w14:textId="77777777" w:rsidR="00D501E7" w:rsidRPr="0088618D" w:rsidRDefault="00D501E7" w:rsidP="00D501E7">
            <w:pPr>
              <w:jc w:val="center"/>
            </w:pPr>
          </w:p>
        </w:tc>
      </w:tr>
      <w:tr w:rsidR="00B31B14" w:rsidRPr="00896A66" w14:paraId="0FC7EE72" w14:textId="77777777" w:rsidTr="0074275D">
        <w:tc>
          <w:tcPr>
            <w:tcW w:w="1660" w:type="pct"/>
          </w:tcPr>
          <w:p w14:paraId="23FB99A6" w14:textId="77777777" w:rsidR="00D501E7" w:rsidRPr="0088618D" w:rsidRDefault="00D501E7" w:rsidP="00D501E7">
            <w:r w:rsidRPr="0088618D">
              <w:rPr>
                <w:color w:val="4F81BD" w:themeColor="accent1"/>
              </w:rPr>
              <w:t>[Enter text]</w:t>
            </w:r>
          </w:p>
        </w:tc>
        <w:tc>
          <w:tcPr>
            <w:tcW w:w="615" w:type="pct"/>
          </w:tcPr>
          <w:p w14:paraId="064233B9" w14:textId="77777777" w:rsidR="00D501E7" w:rsidRPr="0088618D" w:rsidRDefault="00D501E7" w:rsidP="00D501E7">
            <w:pPr>
              <w:jc w:val="center"/>
            </w:pPr>
          </w:p>
        </w:tc>
        <w:tc>
          <w:tcPr>
            <w:tcW w:w="400" w:type="pct"/>
          </w:tcPr>
          <w:p w14:paraId="3C177418" w14:textId="77777777" w:rsidR="00D501E7" w:rsidRPr="000549DA" w:rsidRDefault="00D501E7" w:rsidP="00D501E7">
            <w:pPr>
              <w:jc w:val="center"/>
            </w:pPr>
          </w:p>
        </w:tc>
        <w:tc>
          <w:tcPr>
            <w:tcW w:w="155" w:type="pct"/>
            <w:gridSpan w:val="2"/>
          </w:tcPr>
          <w:p w14:paraId="6ACD9D39" w14:textId="77777777" w:rsidR="00D501E7" w:rsidRPr="000549DA" w:rsidRDefault="00D501E7" w:rsidP="00D501E7">
            <w:pPr>
              <w:jc w:val="center"/>
            </w:pPr>
          </w:p>
        </w:tc>
        <w:tc>
          <w:tcPr>
            <w:tcW w:w="154" w:type="pct"/>
            <w:gridSpan w:val="2"/>
          </w:tcPr>
          <w:p w14:paraId="34C6FF73" w14:textId="1EE1160B" w:rsidR="00D501E7" w:rsidRPr="000549DA" w:rsidRDefault="00D501E7" w:rsidP="00D501E7">
            <w:pPr>
              <w:jc w:val="center"/>
            </w:pPr>
          </w:p>
        </w:tc>
        <w:tc>
          <w:tcPr>
            <w:tcW w:w="157" w:type="pct"/>
            <w:gridSpan w:val="2"/>
          </w:tcPr>
          <w:p w14:paraId="51429DF1" w14:textId="77777777" w:rsidR="00D501E7" w:rsidRPr="0088618D" w:rsidRDefault="00D501E7" w:rsidP="00D501E7">
            <w:pPr>
              <w:jc w:val="center"/>
            </w:pPr>
          </w:p>
        </w:tc>
        <w:tc>
          <w:tcPr>
            <w:tcW w:w="157" w:type="pct"/>
            <w:gridSpan w:val="2"/>
          </w:tcPr>
          <w:p w14:paraId="03B2051D" w14:textId="77777777" w:rsidR="00D501E7" w:rsidRPr="0088618D" w:rsidRDefault="00D501E7" w:rsidP="00D501E7">
            <w:pPr>
              <w:jc w:val="center"/>
            </w:pPr>
          </w:p>
        </w:tc>
        <w:tc>
          <w:tcPr>
            <w:tcW w:w="157" w:type="pct"/>
            <w:gridSpan w:val="2"/>
          </w:tcPr>
          <w:p w14:paraId="5F7AE5DA" w14:textId="77777777" w:rsidR="00D501E7" w:rsidRPr="0088618D" w:rsidRDefault="00D501E7" w:rsidP="00D501E7">
            <w:pPr>
              <w:jc w:val="center"/>
            </w:pPr>
          </w:p>
        </w:tc>
        <w:tc>
          <w:tcPr>
            <w:tcW w:w="157" w:type="pct"/>
            <w:gridSpan w:val="2"/>
          </w:tcPr>
          <w:p w14:paraId="08D0BE81" w14:textId="77777777" w:rsidR="00D501E7" w:rsidRPr="0088618D" w:rsidRDefault="00D501E7" w:rsidP="00D501E7">
            <w:pPr>
              <w:jc w:val="center"/>
            </w:pPr>
          </w:p>
        </w:tc>
        <w:tc>
          <w:tcPr>
            <w:tcW w:w="157" w:type="pct"/>
            <w:gridSpan w:val="2"/>
          </w:tcPr>
          <w:p w14:paraId="4B291A54" w14:textId="77777777" w:rsidR="00D501E7" w:rsidRPr="0088618D" w:rsidRDefault="00D501E7" w:rsidP="00D501E7">
            <w:pPr>
              <w:jc w:val="center"/>
            </w:pPr>
          </w:p>
        </w:tc>
        <w:tc>
          <w:tcPr>
            <w:tcW w:w="157" w:type="pct"/>
            <w:gridSpan w:val="2"/>
          </w:tcPr>
          <w:p w14:paraId="02E3DC97" w14:textId="77777777" w:rsidR="00D501E7" w:rsidRPr="0088618D" w:rsidRDefault="00D501E7" w:rsidP="00D501E7">
            <w:pPr>
              <w:jc w:val="center"/>
            </w:pPr>
          </w:p>
        </w:tc>
        <w:tc>
          <w:tcPr>
            <w:tcW w:w="157" w:type="pct"/>
            <w:gridSpan w:val="2"/>
          </w:tcPr>
          <w:p w14:paraId="7A9238AF" w14:textId="77777777" w:rsidR="00D501E7" w:rsidRPr="0088618D" w:rsidRDefault="00D501E7" w:rsidP="00D501E7">
            <w:pPr>
              <w:jc w:val="center"/>
            </w:pPr>
          </w:p>
        </w:tc>
        <w:tc>
          <w:tcPr>
            <w:tcW w:w="188" w:type="pct"/>
            <w:gridSpan w:val="2"/>
          </w:tcPr>
          <w:p w14:paraId="56959BBE" w14:textId="77777777" w:rsidR="00D501E7" w:rsidRPr="0088618D" w:rsidRDefault="00D501E7" w:rsidP="00D501E7">
            <w:pPr>
              <w:jc w:val="center"/>
            </w:pPr>
          </w:p>
        </w:tc>
        <w:tc>
          <w:tcPr>
            <w:tcW w:w="188" w:type="pct"/>
            <w:gridSpan w:val="2"/>
          </w:tcPr>
          <w:p w14:paraId="4484B6D8" w14:textId="77777777" w:rsidR="00D501E7" w:rsidRPr="0088618D" w:rsidRDefault="00D501E7" w:rsidP="00D501E7">
            <w:pPr>
              <w:jc w:val="center"/>
            </w:pPr>
          </w:p>
        </w:tc>
        <w:tc>
          <w:tcPr>
            <w:tcW w:w="158" w:type="pct"/>
          </w:tcPr>
          <w:p w14:paraId="326748BF" w14:textId="77777777" w:rsidR="00D501E7" w:rsidRPr="0088618D" w:rsidRDefault="00D501E7" w:rsidP="00D501E7">
            <w:pPr>
              <w:jc w:val="center"/>
            </w:pPr>
          </w:p>
        </w:tc>
        <w:tc>
          <w:tcPr>
            <w:tcW w:w="190" w:type="pct"/>
            <w:gridSpan w:val="2"/>
          </w:tcPr>
          <w:p w14:paraId="3F5E9DC8" w14:textId="77777777" w:rsidR="00D501E7" w:rsidRPr="0088618D" w:rsidRDefault="00D501E7" w:rsidP="00D501E7">
            <w:pPr>
              <w:jc w:val="center"/>
            </w:pPr>
          </w:p>
        </w:tc>
        <w:tc>
          <w:tcPr>
            <w:tcW w:w="193" w:type="pct"/>
            <w:gridSpan w:val="2"/>
          </w:tcPr>
          <w:p w14:paraId="2BD7C5B1" w14:textId="77777777" w:rsidR="00D501E7" w:rsidRPr="0088618D" w:rsidRDefault="00D501E7" w:rsidP="00D501E7">
            <w:pPr>
              <w:jc w:val="center"/>
            </w:pPr>
          </w:p>
        </w:tc>
      </w:tr>
      <w:tr w:rsidR="00B31B14" w:rsidRPr="001004B4" w14:paraId="245ECCF6" w14:textId="77777777" w:rsidTr="0074275D">
        <w:tc>
          <w:tcPr>
            <w:tcW w:w="1660" w:type="pct"/>
          </w:tcPr>
          <w:p w14:paraId="04134869" w14:textId="77777777" w:rsidR="00D501E7" w:rsidRPr="0088618D" w:rsidRDefault="00D501E7" w:rsidP="00D501E7">
            <w:pPr>
              <w:rPr>
                <w:color w:val="4F81BD" w:themeColor="accent1"/>
              </w:rPr>
            </w:pPr>
            <w:r w:rsidRPr="0088618D">
              <w:rPr>
                <w:color w:val="4F81BD" w:themeColor="accent1"/>
              </w:rPr>
              <w:t>[Enter text]</w:t>
            </w:r>
          </w:p>
        </w:tc>
        <w:tc>
          <w:tcPr>
            <w:tcW w:w="615" w:type="pct"/>
          </w:tcPr>
          <w:p w14:paraId="72CD9213" w14:textId="77777777" w:rsidR="00D501E7" w:rsidRPr="0088618D" w:rsidRDefault="00D501E7" w:rsidP="00D501E7">
            <w:pPr>
              <w:jc w:val="center"/>
            </w:pPr>
          </w:p>
        </w:tc>
        <w:tc>
          <w:tcPr>
            <w:tcW w:w="400" w:type="pct"/>
          </w:tcPr>
          <w:p w14:paraId="02463647" w14:textId="77777777" w:rsidR="00D501E7" w:rsidRPr="000549DA" w:rsidRDefault="00D501E7" w:rsidP="00D501E7">
            <w:pPr>
              <w:jc w:val="center"/>
            </w:pPr>
          </w:p>
        </w:tc>
        <w:tc>
          <w:tcPr>
            <w:tcW w:w="155" w:type="pct"/>
            <w:gridSpan w:val="2"/>
          </w:tcPr>
          <w:p w14:paraId="5A9CF531" w14:textId="77777777" w:rsidR="00D501E7" w:rsidRPr="000549DA" w:rsidRDefault="00D501E7" w:rsidP="00D501E7">
            <w:pPr>
              <w:jc w:val="center"/>
            </w:pPr>
          </w:p>
        </w:tc>
        <w:tc>
          <w:tcPr>
            <w:tcW w:w="154" w:type="pct"/>
            <w:gridSpan w:val="2"/>
          </w:tcPr>
          <w:p w14:paraId="5369CA01" w14:textId="5EF1EE0C" w:rsidR="00D501E7" w:rsidRPr="000549DA" w:rsidRDefault="00D501E7" w:rsidP="00D501E7">
            <w:pPr>
              <w:jc w:val="center"/>
            </w:pPr>
          </w:p>
        </w:tc>
        <w:tc>
          <w:tcPr>
            <w:tcW w:w="157" w:type="pct"/>
            <w:gridSpan w:val="2"/>
          </w:tcPr>
          <w:p w14:paraId="1C775FCF" w14:textId="77777777" w:rsidR="00D501E7" w:rsidRPr="0088618D" w:rsidRDefault="00D501E7" w:rsidP="00D501E7">
            <w:pPr>
              <w:jc w:val="center"/>
            </w:pPr>
          </w:p>
        </w:tc>
        <w:tc>
          <w:tcPr>
            <w:tcW w:w="157" w:type="pct"/>
            <w:gridSpan w:val="2"/>
          </w:tcPr>
          <w:p w14:paraId="2AA33AB4" w14:textId="77777777" w:rsidR="00D501E7" w:rsidRPr="0088618D" w:rsidRDefault="00D501E7" w:rsidP="00D501E7">
            <w:pPr>
              <w:jc w:val="center"/>
            </w:pPr>
          </w:p>
        </w:tc>
        <w:tc>
          <w:tcPr>
            <w:tcW w:w="157" w:type="pct"/>
            <w:gridSpan w:val="2"/>
          </w:tcPr>
          <w:p w14:paraId="530FCF33" w14:textId="77777777" w:rsidR="00D501E7" w:rsidRPr="0088618D" w:rsidRDefault="00D501E7" w:rsidP="00D501E7">
            <w:pPr>
              <w:jc w:val="center"/>
            </w:pPr>
          </w:p>
        </w:tc>
        <w:tc>
          <w:tcPr>
            <w:tcW w:w="157" w:type="pct"/>
            <w:gridSpan w:val="2"/>
          </w:tcPr>
          <w:p w14:paraId="208CC021" w14:textId="77777777" w:rsidR="00D501E7" w:rsidRPr="0088618D" w:rsidRDefault="00D501E7" w:rsidP="00D501E7">
            <w:pPr>
              <w:jc w:val="center"/>
            </w:pPr>
          </w:p>
        </w:tc>
        <w:tc>
          <w:tcPr>
            <w:tcW w:w="157" w:type="pct"/>
            <w:gridSpan w:val="2"/>
          </w:tcPr>
          <w:p w14:paraId="52B37B58" w14:textId="77777777" w:rsidR="00D501E7" w:rsidRPr="0088618D" w:rsidRDefault="00D501E7" w:rsidP="00D501E7">
            <w:pPr>
              <w:jc w:val="center"/>
            </w:pPr>
          </w:p>
        </w:tc>
        <w:tc>
          <w:tcPr>
            <w:tcW w:w="157" w:type="pct"/>
            <w:gridSpan w:val="2"/>
          </w:tcPr>
          <w:p w14:paraId="4A8FB224" w14:textId="77777777" w:rsidR="00D501E7" w:rsidRPr="0088618D" w:rsidRDefault="00D501E7" w:rsidP="00D501E7">
            <w:pPr>
              <w:jc w:val="center"/>
            </w:pPr>
          </w:p>
        </w:tc>
        <w:tc>
          <w:tcPr>
            <w:tcW w:w="157" w:type="pct"/>
            <w:gridSpan w:val="2"/>
          </w:tcPr>
          <w:p w14:paraId="05B1DA63" w14:textId="77777777" w:rsidR="00D501E7" w:rsidRPr="0088618D" w:rsidRDefault="00D501E7" w:rsidP="00D501E7">
            <w:pPr>
              <w:jc w:val="center"/>
            </w:pPr>
          </w:p>
        </w:tc>
        <w:tc>
          <w:tcPr>
            <w:tcW w:w="188" w:type="pct"/>
            <w:gridSpan w:val="2"/>
          </w:tcPr>
          <w:p w14:paraId="1313AA23" w14:textId="77777777" w:rsidR="00D501E7" w:rsidRPr="0088618D" w:rsidRDefault="00D501E7" w:rsidP="00D501E7">
            <w:pPr>
              <w:jc w:val="center"/>
            </w:pPr>
          </w:p>
        </w:tc>
        <w:tc>
          <w:tcPr>
            <w:tcW w:w="188" w:type="pct"/>
            <w:gridSpan w:val="2"/>
          </w:tcPr>
          <w:p w14:paraId="7472AD98" w14:textId="77777777" w:rsidR="00D501E7" w:rsidRPr="0088618D" w:rsidRDefault="00D501E7" w:rsidP="00D501E7">
            <w:pPr>
              <w:jc w:val="center"/>
            </w:pPr>
          </w:p>
        </w:tc>
        <w:tc>
          <w:tcPr>
            <w:tcW w:w="158" w:type="pct"/>
          </w:tcPr>
          <w:p w14:paraId="6E7A98DA" w14:textId="77777777" w:rsidR="00D501E7" w:rsidRPr="0088618D" w:rsidRDefault="00D501E7" w:rsidP="00D501E7">
            <w:pPr>
              <w:jc w:val="center"/>
            </w:pPr>
          </w:p>
        </w:tc>
        <w:tc>
          <w:tcPr>
            <w:tcW w:w="190" w:type="pct"/>
            <w:gridSpan w:val="2"/>
          </w:tcPr>
          <w:p w14:paraId="7046CE1E" w14:textId="77777777" w:rsidR="00D501E7" w:rsidRPr="0088618D" w:rsidRDefault="00D501E7" w:rsidP="00D501E7">
            <w:pPr>
              <w:jc w:val="center"/>
            </w:pPr>
          </w:p>
        </w:tc>
        <w:tc>
          <w:tcPr>
            <w:tcW w:w="193" w:type="pct"/>
            <w:gridSpan w:val="2"/>
          </w:tcPr>
          <w:p w14:paraId="675E3687" w14:textId="77777777" w:rsidR="00D501E7" w:rsidRPr="0088618D" w:rsidRDefault="00D501E7" w:rsidP="00D501E7">
            <w:pPr>
              <w:jc w:val="center"/>
            </w:pPr>
          </w:p>
        </w:tc>
      </w:tr>
    </w:tbl>
    <w:p w14:paraId="6AAE0BA9" w14:textId="77777777" w:rsidR="00A50A73" w:rsidRDefault="00A50A73" w:rsidP="00A50A73">
      <w:pPr>
        <w:ind w:left="720"/>
        <w:contextualSpacing/>
        <w:rPr>
          <w:rFonts w:asciiTheme="majorHAnsi" w:hAnsiTheme="majorHAnsi" w:cstheme="minorHAnsi"/>
          <w:b/>
          <w:bCs/>
          <w:i/>
          <w:iCs/>
          <w:color w:val="1F497D" w:themeColor="text2"/>
          <w:sz w:val="24"/>
          <w:szCs w:val="24"/>
        </w:rPr>
      </w:pPr>
    </w:p>
    <w:p w14:paraId="32025333" w14:textId="77777777" w:rsidR="00A50A73" w:rsidRPr="00A50A73" w:rsidRDefault="00A50A73" w:rsidP="00A50A73">
      <w:pPr>
        <w:ind w:left="720"/>
        <w:contextualSpacing/>
        <w:rPr>
          <w:rFonts w:asciiTheme="majorHAnsi" w:hAnsiTheme="majorHAnsi" w:cstheme="minorHAnsi"/>
          <w:b/>
          <w:bCs/>
          <w:i/>
          <w:iCs/>
          <w:color w:val="1F497D" w:themeColor="text2"/>
          <w:sz w:val="24"/>
          <w:szCs w:val="24"/>
        </w:rPr>
      </w:pPr>
    </w:p>
    <w:p w14:paraId="1E3E8839" w14:textId="77777777" w:rsidR="001B51C5" w:rsidRPr="001B51C5" w:rsidRDefault="008263D7" w:rsidP="00DA2575">
      <w:pPr>
        <w:numPr>
          <w:ilvl w:val="0"/>
          <w:numId w:val="4"/>
        </w:numPr>
        <w:contextualSpacing/>
        <w:rPr>
          <w:rFonts w:asciiTheme="majorHAnsi" w:hAnsiTheme="majorHAnsi" w:cstheme="minorHAnsi"/>
          <w:b/>
          <w:bCs/>
          <w:i/>
          <w:iCs/>
          <w:color w:val="1F497D" w:themeColor="text2"/>
          <w:sz w:val="24"/>
          <w:szCs w:val="24"/>
        </w:rPr>
      </w:pPr>
      <w:r>
        <w:rPr>
          <w:rFonts w:asciiTheme="majorHAnsi" w:hAnsiTheme="majorHAnsi" w:cstheme="minorHAnsi"/>
          <w:b/>
          <w:bCs/>
          <w:i/>
          <w:iCs/>
          <w:color w:val="365F91" w:themeColor="accent1" w:themeShade="BF"/>
          <w:sz w:val="28"/>
          <w:szCs w:val="28"/>
        </w:rPr>
        <w:t>Risk Areas and Mitigation</w:t>
      </w:r>
      <w:r w:rsidR="001B51C5" w:rsidRPr="001B51C5">
        <w:rPr>
          <w:rFonts w:asciiTheme="majorHAnsi" w:hAnsiTheme="majorHAnsi" w:cstheme="minorHAnsi"/>
          <w:b/>
          <w:bCs/>
          <w:i/>
          <w:iCs/>
          <w:color w:val="365F91" w:themeColor="accent1" w:themeShade="BF"/>
          <w:sz w:val="28"/>
          <w:szCs w:val="28"/>
        </w:rPr>
        <w:t xml:space="preserve"> Strategies</w:t>
      </w:r>
    </w:p>
    <w:p w14:paraId="5FFCAB20" w14:textId="77777777" w:rsidR="001B51C5" w:rsidRPr="001B51C5" w:rsidRDefault="001B51C5" w:rsidP="001B51C5">
      <w:pPr>
        <w:rPr>
          <w:rFonts w:asciiTheme="minorHAnsi" w:hAnsiTheme="minorHAnsi" w:cstheme="minorHAnsi"/>
        </w:rPr>
      </w:pPr>
    </w:p>
    <w:p w14:paraId="7B3DE235" w14:textId="46251F47" w:rsidR="001B51C5" w:rsidRDefault="00723B07" w:rsidP="003D62E5">
      <w:pPr>
        <w:ind w:left="720"/>
        <w:rPr>
          <w:rFonts w:asciiTheme="minorHAnsi" w:hAnsiTheme="minorHAnsi" w:cstheme="minorHAnsi"/>
        </w:rPr>
      </w:pPr>
      <w:r>
        <w:rPr>
          <w:rFonts w:asciiTheme="minorHAnsi" w:hAnsiTheme="minorHAnsi" w:cstheme="minorHAnsi"/>
        </w:rPr>
        <w:t xml:space="preserve">In order to complete </w:t>
      </w:r>
      <w:r w:rsidR="009A10B7">
        <w:rPr>
          <w:rFonts w:asciiTheme="minorHAnsi" w:hAnsiTheme="minorHAnsi" w:cstheme="minorHAnsi"/>
        </w:rPr>
        <w:t>E&amp;E</w:t>
      </w:r>
      <w:r>
        <w:rPr>
          <w:rFonts w:asciiTheme="minorHAnsi" w:hAnsiTheme="minorHAnsi" w:cstheme="minorHAnsi"/>
        </w:rPr>
        <w:t xml:space="preserve"> actions at the end of the </w:t>
      </w:r>
      <w:r w:rsidR="00BF44BE">
        <w:rPr>
          <w:rFonts w:asciiTheme="minorHAnsi" w:hAnsiTheme="minorHAnsi" w:cstheme="minorHAnsi"/>
        </w:rPr>
        <w:t>continuous enrollment condition</w:t>
      </w:r>
      <w:r w:rsidR="00137FE1">
        <w:rPr>
          <w:rFonts w:asciiTheme="minorHAnsi" w:hAnsiTheme="minorHAnsi" w:cstheme="minorHAnsi"/>
        </w:rPr>
        <w:t xml:space="preserve"> </w:t>
      </w:r>
      <w:r>
        <w:rPr>
          <w:rFonts w:asciiTheme="minorHAnsi" w:hAnsiTheme="minorHAnsi" w:cstheme="minorHAnsi"/>
        </w:rPr>
        <w:t>as planned,</w:t>
      </w:r>
      <w:r w:rsidR="00C668DF">
        <w:rPr>
          <w:rFonts w:asciiTheme="minorHAnsi" w:hAnsiTheme="minorHAnsi" w:cstheme="minorHAnsi"/>
        </w:rPr>
        <w:t xml:space="preserve"> states will want to </w:t>
      </w:r>
      <w:r>
        <w:rPr>
          <w:rFonts w:asciiTheme="minorHAnsi" w:hAnsiTheme="minorHAnsi" w:cstheme="minorHAnsi"/>
        </w:rPr>
        <w:t>assess risks and consider mitigation strategies</w:t>
      </w:r>
      <w:r w:rsidR="004513F5">
        <w:rPr>
          <w:rFonts w:asciiTheme="minorHAnsi" w:hAnsiTheme="minorHAnsi" w:cstheme="minorHAnsi"/>
        </w:rPr>
        <w:t xml:space="preserve">. </w:t>
      </w:r>
      <w:r w:rsidR="002973D0">
        <w:rPr>
          <w:rFonts w:asciiTheme="minorHAnsi" w:hAnsiTheme="minorHAnsi" w:cstheme="minorHAnsi"/>
        </w:rPr>
        <w:t xml:space="preserve"> </w:t>
      </w:r>
      <w:r w:rsidR="004513F5">
        <w:rPr>
          <w:rFonts w:asciiTheme="minorHAnsi" w:hAnsiTheme="minorHAnsi" w:cstheme="minorHAnsi"/>
        </w:rPr>
        <w:t xml:space="preserve">Use this section in tandem with </w:t>
      </w:r>
      <w:r w:rsidR="004513F5" w:rsidRPr="004513F5">
        <w:rPr>
          <w:rFonts w:asciiTheme="minorHAnsi" w:hAnsiTheme="minorHAnsi" w:cstheme="minorHAnsi"/>
          <w:i/>
          <w:iCs/>
        </w:rPr>
        <w:t>B. Sample Planning Templates</w:t>
      </w:r>
      <w:r w:rsidR="004513F5">
        <w:rPr>
          <w:rFonts w:asciiTheme="minorHAnsi" w:hAnsiTheme="minorHAnsi" w:cstheme="minorHAnsi"/>
          <w:i/>
          <w:iCs/>
        </w:rPr>
        <w:t xml:space="preserve">. </w:t>
      </w:r>
      <w:r w:rsidR="004513F5">
        <w:rPr>
          <w:rFonts w:asciiTheme="minorHAnsi" w:hAnsiTheme="minorHAnsi" w:cstheme="minorHAnsi"/>
        </w:rPr>
        <w:t xml:space="preserve">Example </w:t>
      </w:r>
      <w:r w:rsidR="00302C5D">
        <w:rPr>
          <w:rFonts w:asciiTheme="minorHAnsi" w:hAnsiTheme="minorHAnsi" w:cstheme="minorHAnsi"/>
        </w:rPr>
        <w:t>key risks to anticipate</w:t>
      </w:r>
      <w:r w:rsidR="004513F5">
        <w:rPr>
          <w:rFonts w:asciiTheme="minorHAnsi" w:hAnsiTheme="minorHAnsi" w:cstheme="minorHAnsi"/>
        </w:rPr>
        <w:t xml:space="preserve"> and</w:t>
      </w:r>
      <w:r w:rsidR="00302C5D">
        <w:rPr>
          <w:rFonts w:asciiTheme="minorHAnsi" w:hAnsiTheme="minorHAnsi" w:cstheme="minorHAnsi"/>
        </w:rPr>
        <w:t xml:space="preserve"> </w:t>
      </w:r>
      <w:r w:rsidR="000E373F">
        <w:rPr>
          <w:rFonts w:asciiTheme="minorHAnsi" w:hAnsiTheme="minorHAnsi" w:cstheme="minorHAnsi"/>
        </w:rPr>
        <w:t xml:space="preserve">mitigation </w:t>
      </w:r>
      <w:r w:rsidR="001B51C5" w:rsidRPr="001B51C5">
        <w:rPr>
          <w:rFonts w:asciiTheme="minorHAnsi" w:hAnsiTheme="minorHAnsi" w:cstheme="minorHAnsi"/>
        </w:rPr>
        <w:t>strategies</w:t>
      </w:r>
      <w:r w:rsidR="004513F5">
        <w:rPr>
          <w:rFonts w:asciiTheme="minorHAnsi" w:hAnsiTheme="minorHAnsi" w:cstheme="minorHAnsi"/>
        </w:rPr>
        <w:t xml:space="preserve"> are included below for reference. </w:t>
      </w:r>
      <w:r w:rsidR="002973D0">
        <w:rPr>
          <w:rFonts w:asciiTheme="minorHAnsi" w:hAnsiTheme="minorHAnsi" w:cstheme="minorHAnsi"/>
        </w:rPr>
        <w:t xml:space="preserve"> </w:t>
      </w:r>
      <w:r w:rsidR="001B51C5" w:rsidRPr="0027333E">
        <w:rPr>
          <w:rFonts w:asciiTheme="minorHAnsi" w:hAnsiTheme="minorHAnsi" w:cstheme="minorHAnsi"/>
        </w:rPr>
        <w:t>See</w:t>
      </w:r>
      <w:r w:rsidR="00380A49">
        <w:rPr>
          <w:rFonts w:asciiTheme="minorHAnsi" w:hAnsiTheme="minorHAnsi" w:cstheme="minorHAnsi"/>
        </w:rPr>
        <w:t xml:space="preserve"> the</w:t>
      </w:r>
      <w:r w:rsidR="001B51C5" w:rsidRPr="0027333E">
        <w:rPr>
          <w:rFonts w:asciiTheme="minorHAnsi" w:hAnsiTheme="minorHAnsi" w:cstheme="minorHAnsi"/>
        </w:rPr>
        <w:t xml:space="preserve"> </w:t>
      </w:r>
      <w:hyperlink r:id="rId29" w:tooltip="November 2021 Strategies States and the U.S. Territories Can Adopt to Maintain Coverage of Eligible Individuals as They Return to Normal Operations" w:history="1">
        <w:r w:rsidR="00BE64FA" w:rsidRPr="003345FB">
          <w:rPr>
            <w:rStyle w:val="Hyperlink"/>
            <w:i/>
            <w:iCs/>
          </w:rPr>
          <w:t xml:space="preserve">November 2021 </w:t>
        </w:r>
        <w:r w:rsidR="002F5E24" w:rsidRPr="003345FB">
          <w:rPr>
            <w:rStyle w:val="Hyperlink"/>
            <w:i/>
            <w:iCs/>
          </w:rPr>
          <w:t xml:space="preserve">Strategies States and the U.S. Territories Can Adopt to Maintain Coverage of Eligible Individuals as They </w:t>
        </w:r>
        <w:r w:rsidR="002F5E24" w:rsidRPr="003345FB">
          <w:rPr>
            <w:rStyle w:val="Hyperlink"/>
            <w:rFonts w:asciiTheme="minorHAnsi" w:hAnsiTheme="minorHAnsi" w:cstheme="minorHAnsi"/>
            <w:i/>
            <w:iCs/>
          </w:rPr>
          <w:t>Return</w:t>
        </w:r>
        <w:r w:rsidR="002F5E24" w:rsidRPr="003345FB">
          <w:rPr>
            <w:rStyle w:val="Hyperlink"/>
            <w:i/>
            <w:iCs/>
          </w:rPr>
          <w:t xml:space="preserve"> to Normal Operations</w:t>
        </w:r>
      </w:hyperlink>
      <w:r w:rsidR="001B51C5" w:rsidRPr="001B51C5">
        <w:rPr>
          <w:rFonts w:asciiTheme="minorHAnsi" w:hAnsiTheme="minorHAnsi" w:cstheme="minorHAnsi"/>
        </w:rPr>
        <w:t xml:space="preserve"> for additional resources.</w:t>
      </w:r>
    </w:p>
    <w:p w14:paraId="101C0790" w14:textId="2412A10B" w:rsidR="001B51C5" w:rsidRPr="001B51C5" w:rsidRDefault="00E73D99" w:rsidP="001B51C5">
      <w:pPr>
        <w:ind w:left="360" w:firstLine="360"/>
        <w:rPr>
          <w:rFonts w:asciiTheme="minorHAnsi" w:hAnsiTheme="minorHAnsi" w:cstheme="minorHAnsi"/>
        </w:rPr>
      </w:pPr>
      <w:r>
        <w:rPr>
          <w:rFonts w:asciiTheme="minorHAnsi" w:hAnsiTheme="minorHAnsi" w:cstheme="minorHAnsi"/>
        </w:rPr>
        <w:t xml:space="preserve"> </w:t>
      </w:r>
    </w:p>
    <w:p w14:paraId="1E5ADFFA" w14:textId="6A13F135" w:rsidR="001B51C5" w:rsidRPr="00C57703" w:rsidRDefault="00E965B1" w:rsidP="00DA2575">
      <w:pPr>
        <w:numPr>
          <w:ilvl w:val="0"/>
          <w:numId w:val="13"/>
        </w:numPr>
        <w:contextualSpacing/>
        <w:rPr>
          <w:rFonts w:asciiTheme="minorHAnsi" w:hAnsiTheme="minorHAnsi" w:cstheme="minorHAnsi"/>
          <w:b/>
          <w:bCs/>
        </w:rPr>
      </w:pPr>
      <w:r w:rsidRPr="00C57703">
        <w:rPr>
          <w:rFonts w:asciiTheme="minorHAnsi" w:hAnsiTheme="minorHAnsi" w:cstheme="minorHAnsi"/>
          <w:b/>
          <w:bCs/>
        </w:rPr>
        <w:t xml:space="preserve">Key risk: Inappropriate coverage loss among eligible </w:t>
      </w:r>
      <w:r w:rsidR="00924979" w:rsidRPr="00924979">
        <w:rPr>
          <w:rFonts w:asciiTheme="minorHAnsi" w:hAnsiTheme="minorHAnsi" w:cstheme="minorHAnsi"/>
          <w:b/>
          <w:bCs/>
        </w:rPr>
        <w:t>individuals</w:t>
      </w:r>
      <w:r w:rsidRPr="00C57703">
        <w:rPr>
          <w:rFonts w:asciiTheme="minorHAnsi" w:hAnsiTheme="minorHAnsi" w:cstheme="minorHAnsi"/>
          <w:b/>
          <w:bCs/>
        </w:rPr>
        <w:t xml:space="preserve"> due to procedural or administrative </w:t>
      </w:r>
      <w:r w:rsidR="00C57703">
        <w:rPr>
          <w:rFonts w:asciiTheme="minorHAnsi" w:hAnsiTheme="minorHAnsi" w:cstheme="minorHAnsi"/>
          <w:b/>
          <w:bCs/>
        </w:rPr>
        <w:t>reasons</w:t>
      </w:r>
    </w:p>
    <w:tbl>
      <w:tblPr>
        <w:tblStyle w:val="TableGrid"/>
        <w:tblW w:w="16740" w:type="dxa"/>
        <w:tblInd w:w="715" w:type="dxa"/>
        <w:tblLook w:val="04A0" w:firstRow="1" w:lastRow="0" w:firstColumn="1" w:lastColumn="0" w:noHBand="0" w:noVBand="1"/>
      </w:tblPr>
      <w:tblGrid>
        <w:gridCol w:w="6930"/>
        <w:gridCol w:w="9810"/>
      </w:tblGrid>
      <w:tr w:rsidR="00B41043" w:rsidRPr="00B41043" w14:paraId="5B964D3B" w14:textId="77777777" w:rsidTr="6493D36F">
        <w:trPr>
          <w:trHeight w:val="413"/>
          <w:tblHeader/>
        </w:trPr>
        <w:tc>
          <w:tcPr>
            <w:tcW w:w="6930" w:type="dxa"/>
            <w:shd w:val="clear" w:color="auto" w:fill="4F81BD" w:themeFill="accent1"/>
          </w:tcPr>
          <w:p w14:paraId="1F4F4A4C" w14:textId="77777777" w:rsidR="00E965B1" w:rsidRPr="00B41043" w:rsidRDefault="00E965B1" w:rsidP="00E04D78">
            <w:pPr>
              <w:rPr>
                <w:rFonts w:asciiTheme="minorHAnsi" w:hAnsiTheme="minorHAnsi" w:cstheme="minorHAnsi"/>
                <w:b/>
                <w:bCs/>
              </w:rPr>
            </w:pPr>
            <w:r w:rsidRPr="00B41043">
              <w:rPr>
                <w:rFonts w:asciiTheme="minorHAnsi" w:hAnsiTheme="minorHAnsi" w:cstheme="minorBidi"/>
                <w:b/>
                <w:bCs/>
              </w:rPr>
              <w:t>Potential Strategies to Mitigate Risk</w:t>
            </w:r>
          </w:p>
        </w:tc>
        <w:tc>
          <w:tcPr>
            <w:tcW w:w="9810" w:type="dxa"/>
            <w:shd w:val="clear" w:color="auto" w:fill="4F81BD" w:themeFill="accent1"/>
          </w:tcPr>
          <w:p w14:paraId="3FE1FC3C" w14:textId="77777777" w:rsidR="00E965B1" w:rsidRPr="00B41043" w:rsidRDefault="00E965B1" w:rsidP="00E04D78">
            <w:pPr>
              <w:rPr>
                <w:rFonts w:asciiTheme="minorHAnsi" w:hAnsiTheme="minorHAnsi" w:cstheme="minorHAnsi"/>
                <w:b/>
                <w:bCs/>
              </w:rPr>
            </w:pPr>
            <w:r w:rsidRPr="00B41043">
              <w:rPr>
                <w:rFonts w:asciiTheme="minorHAnsi" w:hAnsiTheme="minorHAnsi" w:cstheme="minorBidi"/>
                <w:b/>
                <w:bCs/>
              </w:rPr>
              <w:t xml:space="preserve">State Approach and Timeline </w:t>
            </w:r>
          </w:p>
        </w:tc>
      </w:tr>
      <w:tr w:rsidR="00E965B1" w:rsidRPr="00BD77C8" w14:paraId="30FAA8AE" w14:textId="77777777" w:rsidTr="0074275D">
        <w:tc>
          <w:tcPr>
            <w:tcW w:w="6930" w:type="dxa"/>
          </w:tcPr>
          <w:p w14:paraId="301DBC8E" w14:textId="0C3125E5" w:rsidR="00E965B1" w:rsidRPr="00B02B52" w:rsidRDefault="00E965B1" w:rsidP="00DA2575">
            <w:pPr>
              <w:pStyle w:val="BodyText"/>
              <w:numPr>
                <w:ilvl w:val="0"/>
                <w:numId w:val="14"/>
              </w:numPr>
              <w:spacing w:before="7"/>
              <w:rPr>
                <w:b/>
                <w:bCs/>
              </w:rPr>
            </w:pPr>
            <w:r w:rsidRPr="00AB2A6B">
              <w:rPr>
                <w:rFonts w:eastAsia="Times New Roman"/>
              </w:rPr>
              <w:t xml:space="preserve">Increase the percentage of </w:t>
            </w:r>
            <w:r w:rsidRPr="002217B4">
              <w:rPr>
                <w:rFonts w:eastAsia="Times New Roman"/>
                <w:i/>
              </w:rPr>
              <w:t>ex</w:t>
            </w:r>
            <w:r w:rsidR="009C4836" w:rsidRPr="002217B4">
              <w:rPr>
                <w:rFonts w:eastAsia="Times New Roman"/>
                <w:i/>
              </w:rPr>
              <w:t xml:space="preserve"> </w:t>
            </w:r>
            <w:r w:rsidRPr="002217B4">
              <w:rPr>
                <w:rFonts w:eastAsia="Times New Roman"/>
                <w:i/>
              </w:rPr>
              <w:t>parte</w:t>
            </w:r>
            <w:r w:rsidRPr="00AB2A6B">
              <w:rPr>
                <w:rFonts w:eastAsia="Times New Roman"/>
              </w:rPr>
              <w:t xml:space="preserve"> renewals completed for MAGI and non-MAGI populations</w:t>
            </w:r>
            <w:r w:rsidR="00242E83">
              <w:rPr>
                <w:rFonts w:eastAsia="Times New Roman"/>
              </w:rPr>
              <w:t>:</w:t>
            </w:r>
          </w:p>
          <w:p w14:paraId="7FD7718B" w14:textId="77777777" w:rsidR="00E965B1" w:rsidRDefault="00E965B1" w:rsidP="00DA2575">
            <w:pPr>
              <w:pStyle w:val="BodyText"/>
              <w:numPr>
                <w:ilvl w:val="1"/>
                <w:numId w:val="14"/>
              </w:numPr>
              <w:spacing w:before="7" w:after="0"/>
              <w:rPr>
                <w:i/>
                <w:iCs/>
              </w:rPr>
            </w:pPr>
            <w:r w:rsidRPr="00B02B52">
              <w:rPr>
                <w:i/>
                <w:iCs/>
              </w:rPr>
              <w:lastRenderedPageBreak/>
              <w:t>Expand the number and types of data sources used for redetermination (e.g., use both IRS and quarterly wage data; leverage unemployment income data sources)</w:t>
            </w:r>
          </w:p>
          <w:p w14:paraId="072BD929" w14:textId="77777777" w:rsidR="00954F70" w:rsidRPr="008365A0" w:rsidRDefault="00954F70" w:rsidP="00DA2575">
            <w:pPr>
              <w:pStyle w:val="BodyText"/>
              <w:numPr>
                <w:ilvl w:val="1"/>
                <w:numId w:val="14"/>
              </w:numPr>
              <w:spacing w:after="0"/>
              <w:rPr>
                <w:i/>
                <w:iCs/>
              </w:rPr>
            </w:pPr>
            <w:r>
              <w:rPr>
                <w:i/>
                <w:iCs/>
              </w:rPr>
              <w:t>Leverage data from other means-tested programs, like</w:t>
            </w:r>
            <w:r w:rsidR="008365A0">
              <w:rPr>
                <w:i/>
                <w:iCs/>
              </w:rPr>
              <w:t xml:space="preserve"> </w:t>
            </w:r>
            <w:r w:rsidR="008365A0" w:rsidRPr="008365A0">
              <w:rPr>
                <w:i/>
                <w:iCs/>
              </w:rPr>
              <w:t>the Supplemental Nutrition</w:t>
            </w:r>
            <w:r w:rsidR="008365A0">
              <w:rPr>
                <w:i/>
                <w:iCs/>
              </w:rPr>
              <w:t xml:space="preserve"> </w:t>
            </w:r>
            <w:r w:rsidR="008365A0" w:rsidRPr="008365A0">
              <w:rPr>
                <w:i/>
                <w:iCs/>
              </w:rPr>
              <w:t>Assistance Program</w:t>
            </w:r>
            <w:r w:rsidRPr="008365A0">
              <w:rPr>
                <w:i/>
                <w:iCs/>
              </w:rPr>
              <w:t xml:space="preserve"> </w:t>
            </w:r>
            <w:r w:rsidR="008365A0">
              <w:rPr>
                <w:i/>
                <w:iCs/>
              </w:rPr>
              <w:t>(</w:t>
            </w:r>
            <w:r w:rsidRPr="008365A0">
              <w:rPr>
                <w:i/>
                <w:iCs/>
              </w:rPr>
              <w:t>SNAP</w:t>
            </w:r>
            <w:r w:rsidR="008365A0">
              <w:rPr>
                <w:i/>
                <w:iCs/>
              </w:rPr>
              <w:t>)</w:t>
            </w:r>
            <w:r w:rsidRPr="008365A0">
              <w:rPr>
                <w:i/>
                <w:iCs/>
              </w:rPr>
              <w:t xml:space="preserve"> or </w:t>
            </w:r>
            <w:r w:rsidR="001A6D82" w:rsidRPr="001A6D82">
              <w:rPr>
                <w:i/>
                <w:iCs/>
              </w:rPr>
              <w:t xml:space="preserve">Temporary Assistance for Needy Families </w:t>
            </w:r>
            <w:r w:rsidR="001A6D82">
              <w:rPr>
                <w:i/>
                <w:iCs/>
              </w:rPr>
              <w:t>(</w:t>
            </w:r>
            <w:r w:rsidRPr="008365A0">
              <w:rPr>
                <w:i/>
                <w:iCs/>
              </w:rPr>
              <w:t>TANF</w:t>
            </w:r>
            <w:r w:rsidR="001A6D82">
              <w:rPr>
                <w:i/>
                <w:iCs/>
              </w:rPr>
              <w:t>)</w:t>
            </w:r>
            <w:r w:rsidRPr="008365A0">
              <w:rPr>
                <w:i/>
                <w:iCs/>
              </w:rPr>
              <w:t>, for Medicaid eligibility redeterminations</w:t>
            </w:r>
          </w:p>
          <w:p w14:paraId="3836B085" w14:textId="77777777" w:rsidR="00E965B1" w:rsidRPr="00A03F23" w:rsidRDefault="00E965B1" w:rsidP="00DA2575">
            <w:pPr>
              <w:pStyle w:val="BodyText"/>
              <w:numPr>
                <w:ilvl w:val="1"/>
                <w:numId w:val="14"/>
              </w:numPr>
              <w:spacing w:after="0"/>
              <w:rPr>
                <w:i/>
                <w:iCs/>
              </w:rPr>
            </w:pPr>
            <w:r w:rsidRPr="00B02B52">
              <w:rPr>
                <w:i/>
                <w:iCs/>
              </w:rPr>
              <w:t>Create a data source hierarchy to guide verification, prioritizing the most recent and reliable data sources (e.g., leverage SNAP data that is updated every six months; first ping IRS data and if not reasonably compatible, then ping quarterly wage data)</w:t>
            </w:r>
            <w:r w:rsidR="00A03F23">
              <w:rPr>
                <w:i/>
                <w:iCs/>
              </w:rPr>
              <w:t xml:space="preserve"> </w:t>
            </w:r>
            <w:r w:rsidR="00A03F23" w:rsidRPr="00A03F23">
              <w:rPr>
                <w:i/>
                <w:iCs/>
              </w:rPr>
              <w:t>and</w:t>
            </w:r>
            <w:r w:rsidR="00A03F23">
              <w:rPr>
                <w:i/>
                <w:iCs/>
              </w:rPr>
              <w:t xml:space="preserve"> </w:t>
            </w:r>
            <w:r w:rsidR="00A03F23" w:rsidRPr="00A03F23">
              <w:rPr>
                <w:i/>
                <w:iCs/>
              </w:rPr>
              <w:t>verify income when data source in the hierarchy confirms reasonable compatibility</w:t>
            </w:r>
          </w:p>
          <w:p w14:paraId="251EA1C1" w14:textId="77777777" w:rsidR="00E965B1" w:rsidRDefault="00E965B1" w:rsidP="00DA2575">
            <w:pPr>
              <w:pStyle w:val="BodyText"/>
              <w:numPr>
                <w:ilvl w:val="1"/>
                <w:numId w:val="14"/>
              </w:numPr>
              <w:spacing w:before="7" w:after="0"/>
              <w:rPr>
                <w:i/>
                <w:iCs/>
              </w:rPr>
            </w:pPr>
            <w:r w:rsidRPr="00B02B52">
              <w:rPr>
                <w:i/>
                <w:iCs/>
              </w:rPr>
              <w:t>Use a reasonable compatibility threshold (e.g., 10%) for income</w:t>
            </w:r>
            <w:r w:rsidR="00954F70">
              <w:rPr>
                <w:i/>
                <w:iCs/>
              </w:rPr>
              <w:t xml:space="preserve"> for MAGI and non-M</w:t>
            </w:r>
            <w:r w:rsidR="0086747C">
              <w:rPr>
                <w:i/>
                <w:iCs/>
              </w:rPr>
              <w:t>AGI populations and a reasonable compatibility threshold for assets for non-MAGI populations</w:t>
            </w:r>
            <w:r w:rsidR="00D92CB8">
              <w:rPr>
                <w:i/>
                <w:iCs/>
              </w:rPr>
              <w:t>, if not already used</w:t>
            </w:r>
          </w:p>
          <w:p w14:paraId="23302EE0" w14:textId="77777777" w:rsidR="0086747C" w:rsidRPr="0086747C" w:rsidRDefault="00E04D78" w:rsidP="00DA2575">
            <w:pPr>
              <w:pStyle w:val="BodyText"/>
              <w:numPr>
                <w:ilvl w:val="1"/>
                <w:numId w:val="14"/>
              </w:numPr>
              <w:spacing w:before="7" w:after="0"/>
              <w:rPr>
                <w:i/>
                <w:iCs/>
              </w:rPr>
            </w:pPr>
            <w:r>
              <w:rPr>
                <w:i/>
                <w:iCs/>
              </w:rPr>
              <w:t>A</w:t>
            </w:r>
            <w:r w:rsidR="00C37050">
              <w:rPr>
                <w:i/>
                <w:iCs/>
              </w:rPr>
              <w:t>ssess and a</w:t>
            </w:r>
            <w:r>
              <w:rPr>
                <w:i/>
                <w:iCs/>
              </w:rPr>
              <w:t>djust</w:t>
            </w:r>
            <w:r w:rsidR="0086747C" w:rsidRPr="00B02B52">
              <w:rPr>
                <w:i/>
                <w:iCs/>
              </w:rPr>
              <w:t xml:space="preserve"> the current reasonable compatibility threshold for income (e.g.,</w:t>
            </w:r>
            <w:r w:rsidR="00A53074">
              <w:rPr>
                <w:i/>
                <w:iCs/>
              </w:rPr>
              <w:t xml:space="preserve"> increase to</w:t>
            </w:r>
            <w:r w:rsidR="0086747C" w:rsidRPr="00B02B52">
              <w:rPr>
                <w:i/>
                <w:iCs/>
              </w:rPr>
              <w:t xml:space="preserve"> 20%)</w:t>
            </w:r>
          </w:p>
          <w:p w14:paraId="0A82FEFA" w14:textId="77777777" w:rsidR="00E04D78" w:rsidRPr="00E04D78" w:rsidRDefault="00E04D78" w:rsidP="00DA2575">
            <w:pPr>
              <w:pStyle w:val="BodyText"/>
              <w:numPr>
                <w:ilvl w:val="1"/>
                <w:numId w:val="14"/>
              </w:numPr>
              <w:spacing w:before="7" w:after="0"/>
              <w:rPr>
                <w:b/>
                <w:bCs/>
                <w:i/>
                <w:iCs/>
              </w:rPr>
            </w:pPr>
            <w:r w:rsidRPr="00E04D78">
              <w:rPr>
                <w:i/>
                <w:iCs/>
              </w:rPr>
              <w:t>Streamline, increase levels for, or eliminate asset requirements for some or all non-MAGI populations</w:t>
            </w:r>
          </w:p>
          <w:p w14:paraId="5E7C67C1" w14:textId="6436133E" w:rsidR="00E965B1" w:rsidRPr="00931074" w:rsidRDefault="00E04D78" w:rsidP="00DA2575">
            <w:pPr>
              <w:pStyle w:val="BodyText"/>
              <w:numPr>
                <w:ilvl w:val="1"/>
                <w:numId w:val="14"/>
              </w:numPr>
              <w:spacing w:before="7" w:after="0"/>
              <w:rPr>
                <w:b/>
                <w:bCs/>
              </w:rPr>
            </w:pPr>
            <w:r>
              <w:rPr>
                <w:i/>
                <w:iCs/>
              </w:rPr>
              <w:t xml:space="preserve">Automate data checks </w:t>
            </w:r>
          </w:p>
        </w:tc>
        <w:tc>
          <w:tcPr>
            <w:tcW w:w="9810" w:type="dxa"/>
            <w:vMerge w:val="restart"/>
          </w:tcPr>
          <w:p w14:paraId="65A53406" w14:textId="77777777" w:rsidR="00E84FCE" w:rsidRPr="00B41043" w:rsidRDefault="00E84FCE" w:rsidP="00DA2575">
            <w:pPr>
              <w:pStyle w:val="BodyText"/>
              <w:numPr>
                <w:ilvl w:val="0"/>
                <w:numId w:val="34"/>
              </w:numPr>
              <w:spacing w:before="7"/>
              <w:rPr>
                <w:i/>
                <w:iCs/>
                <w:color w:val="4172AD"/>
              </w:rPr>
            </w:pPr>
            <w:r w:rsidRPr="00B41043">
              <w:rPr>
                <w:i/>
                <w:iCs/>
                <w:color w:val="4172AD"/>
              </w:rPr>
              <w:lastRenderedPageBreak/>
              <w:t>How significant is this risk</w:t>
            </w:r>
            <w:r w:rsidR="000A28E7" w:rsidRPr="00B41043">
              <w:rPr>
                <w:i/>
                <w:iCs/>
                <w:color w:val="4172AD"/>
              </w:rPr>
              <w:t xml:space="preserve"> in your state</w:t>
            </w:r>
            <w:r w:rsidRPr="00B41043">
              <w:rPr>
                <w:i/>
                <w:iCs/>
                <w:color w:val="4172AD"/>
              </w:rPr>
              <w:t xml:space="preserve">? </w:t>
            </w:r>
          </w:p>
          <w:p w14:paraId="0DC9AD03" w14:textId="77777777" w:rsidR="00E84FCE" w:rsidRPr="00B41043" w:rsidRDefault="00E84FCE" w:rsidP="00DA2575">
            <w:pPr>
              <w:pStyle w:val="BodyText"/>
              <w:numPr>
                <w:ilvl w:val="0"/>
                <w:numId w:val="34"/>
              </w:numPr>
              <w:spacing w:before="7"/>
              <w:rPr>
                <w:i/>
                <w:iCs/>
                <w:color w:val="4172AD"/>
              </w:rPr>
            </w:pPr>
            <w:r w:rsidRPr="00B41043">
              <w:rPr>
                <w:i/>
                <w:iCs/>
                <w:color w:val="4172AD"/>
              </w:rPr>
              <w:lastRenderedPageBreak/>
              <w:t xml:space="preserve">Which of these strategies will the state implement to mitigate risk? </w:t>
            </w:r>
            <w:r w:rsidR="000A28E7" w:rsidRPr="00B41043">
              <w:rPr>
                <w:i/>
                <w:iCs/>
                <w:color w:val="4172AD"/>
              </w:rPr>
              <w:t>Are there other strategies the state will adopt?</w:t>
            </w:r>
          </w:p>
          <w:p w14:paraId="0CFF15F9" w14:textId="6A2013F4" w:rsidR="00E965B1" w:rsidRPr="00F40A19" w:rsidRDefault="00E84FCE" w:rsidP="00DA2575">
            <w:pPr>
              <w:pStyle w:val="BodyText"/>
              <w:numPr>
                <w:ilvl w:val="0"/>
                <w:numId w:val="34"/>
              </w:numPr>
              <w:spacing w:before="7"/>
              <w:rPr>
                <w:i/>
                <w:iCs/>
                <w:color w:val="4F81BD" w:themeColor="accent1"/>
              </w:rPr>
            </w:pPr>
            <w:r w:rsidRPr="00B41043">
              <w:rPr>
                <w:i/>
                <w:iCs/>
                <w:color w:val="4172AD"/>
              </w:rPr>
              <w:t>What steps will the state need to take to operationalize th</w:t>
            </w:r>
            <w:r w:rsidR="000C7FD8" w:rsidRPr="00B41043">
              <w:rPr>
                <w:i/>
                <w:iCs/>
                <w:color w:val="4172AD"/>
              </w:rPr>
              <w:t>ese</w:t>
            </w:r>
            <w:r w:rsidRPr="00B41043">
              <w:rPr>
                <w:i/>
                <w:iCs/>
                <w:color w:val="4172AD"/>
              </w:rPr>
              <w:t xml:space="preserve"> strategies and when?</w:t>
            </w:r>
          </w:p>
        </w:tc>
      </w:tr>
      <w:tr w:rsidR="00E965B1" w:rsidRPr="00BD77C8" w14:paraId="3BB8FFAA" w14:textId="77777777" w:rsidTr="6493D36F">
        <w:tc>
          <w:tcPr>
            <w:tcW w:w="6930" w:type="dxa"/>
          </w:tcPr>
          <w:p w14:paraId="1B25F008" w14:textId="1874970F" w:rsidR="00E965B1" w:rsidRDefault="00E965B1" w:rsidP="00DA2575">
            <w:pPr>
              <w:pStyle w:val="BodyText"/>
              <w:numPr>
                <w:ilvl w:val="0"/>
                <w:numId w:val="14"/>
              </w:numPr>
              <w:spacing w:before="7"/>
              <w:rPr>
                <w:rFonts w:eastAsia="Times New Roman"/>
              </w:rPr>
            </w:pPr>
            <w:r w:rsidRPr="00AB2A6B">
              <w:rPr>
                <w:rFonts w:eastAsia="Times New Roman"/>
              </w:rPr>
              <w:lastRenderedPageBreak/>
              <w:t xml:space="preserve">Streamline renewals that cannot be completed via an </w:t>
            </w:r>
            <w:r w:rsidRPr="002217B4">
              <w:rPr>
                <w:rFonts w:eastAsia="Times New Roman"/>
                <w:i/>
              </w:rPr>
              <w:t>ex</w:t>
            </w:r>
            <w:r w:rsidR="000C7FD8" w:rsidRPr="002217B4">
              <w:rPr>
                <w:rFonts w:eastAsia="Times New Roman"/>
                <w:i/>
              </w:rPr>
              <w:t xml:space="preserve"> </w:t>
            </w:r>
            <w:r w:rsidRPr="002217B4">
              <w:rPr>
                <w:rFonts w:eastAsia="Times New Roman"/>
                <w:i/>
              </w:rPr>
              <w:t>parte</w:t>
            </w:r>
            <w:r w:rsidRPr="00AB2A6B">
              <w:rPr>
                <w:rFonts w:eastAsia="Times New Roman"/>
              </w:rPr>
              <w:t xml:space="preserve"> process</w:t>
            </w:r>
            <w:r w:rsidR="00242E83">
              <w:rPr>
                <w:rFonts w:eastAsia="Times New Roman"/>
              </w:rPr>
              <w:t>:</w:t>
            </w:r>
          </w:p>
          <w:p w14:paraId="19762E10" w14:textId="28D17849" w:rsidR="00E04D78" w:rsidRDefault="00E04D78" w:rsidP="00DA2575">
            <w:pPr>
              <w:pStyle w:val="ListParagraph"/>
              <w:numPr>
                <w:ilvl w:val="0"/>
                <w:numId w:val="18"/>
              </w:numPr>
              <w:spacing w:line="256" w:lineRule="auto"/>
              <w:ind w:left="1080"/>
              <w:rPr>
                <w:rFonts w:eastAsia="Times New Roman"/>
                <w:i/>
                <w:iCs/>
              </w:rPr>
            </w:pPr>
            <w:r>
              <w:rPr>
                <w:rFonts w:eastAsia="Times New Roman"/>
                <w:i/>
                <w:iCs/>
              </w:rPr>
              <w:t xml:space="preserve">Ensure that </w:t>
            </w:r>
            <w:r w:rsidR="0089055A">
              <w:rPr>
                <w:rFonts w:eastAsia="Times New Roman"/>
                <w:i/>
                <w:iCs/>
              </w:rPr>
              <w:t>individuals</w:t>
            </w:r>
            <w:r>
              <w:rPr>
                <w:rFonts w:eastAsia="Times New Roman"/>
                <w:i/>
                <w:iCs/>
              </w:rPr>
              <w:t xml:space="preserve"> can submit requested information to the agency over the phone, via mail, online, and in-person</w:t>
            </w:r>
            <w:r w:rsidR="0044782A">
              <w:rPr>
                <w:rFonts w:eastAsia="Times New Roman"/>
                <w:i/>
                <w:iCs/>
              </w:rPr>
              <w:t>, consistent with federal requirements</w:t>
            </w:r>
          </w:p>
          <w:p w14:paraId="65D1D668" w14:textId="4F39E243" w:rsidR="00E965B1" w:rsidRPr="006A5EF5" w:rsidRDefault="00E965B1" w:rsidP="00DA2575">
            <w:pPr>
              <w:pStyle w:val="ListParagraph"/>
              <w:numPr>
                <w:ilvl w:val="1"/>
                <w:numId w:val="18"/>
              </w:numPr>
              <w:spacing w:line="256" w:lineRule="auto"/>
              <w:rPr>
                <w:rFonts w:eastAsia="Times New Roman"/>
                <w:i/>
                <w:iCs/>
              </w:rPr>
            </w:pPr>
            <w:r w:rsidRPr="002D6A4B">
              <w:rPr>
                <w:rFonts w:eastAsia="Times New Roman"/>
                <w:i/>
                <w:iCs/>
              </w:rPr>
              <w:t xml:space="preserve">Ensure renewal forms are pre-populated for </w:t>
            </w:r>
            <w:r w:rsidR="006A5EF5">
              <w:rPr>
                <w:rFonts w:eastAsia="Times New Roman"/>
                <w:i/>
                <w:iCs/>
              </w:rPr>
              <w:t>i</w:t>
            </w:r>
            <w:r w:rsidR="006A5EF5" w:rsidRPr="006A5EF5">
              <w:rPr>
                <w:rFonts w:eastAsia="Times New Roman"/>
                <w:i/>
                <w:iCs/>
              </w:rPr>
              <w:t>ndividuals enrolled in Medicaid, CHIP, and</w:t>
            </w:r>
            <w:r w:rsidR="006A5EF5">
              <w:rPr>
                <w:rFonts w:eastAsia="Times New Roman"/>
                <w:i/>
                <w:iCs/>
              </w:rPr>
              <w:t xml:space="preserve"> </w:t>
            </w:r>
            <w:r w:rsidR="006A5EF5" w:rsidRPr="006A5EF5">
              <w:rPr>
                <w:rFonts w:eastAsia="Times New Roman"/>
                <w:i/>
                <w:iCs/>
              </w:rPr>
              <w:t>BHP on a MAGI basis,</w:t>
            </w:r>
            <w:r w:rsidRPr="006A5EF5">
              <w:rPr>
                <w:rFonts w:eastAsia="Times New Roman"/>
                <w:i/>
                <w:iCs/>
              </w:rPr>
              <w:t xml:space="preserve"> consistent with federal requirements</w:t>
            </w:r>
          </w:p>
          <w:p w14:paraId="3E1B2F45" w14:textId="1FBF9145" w:rsidR="00E965B1" w:rsidRPr="002D6A4B" w:rsidRDefault="00E965B1" w:rsidP="00DA2575">
            <w:pPr>
              <w:pStyle w:val="ListParagraph"/>
              <w:numPr>
                <w:ilvl w:val="0"/>
                <w:numId w:val="18"/>
              </w:numPr>
              <w:spacing w:line="256" w:lineRule="auto"/>
              <w:ind w:left="1080"/>
              <w:rPr>
                <w:rFonts w:eastAsia="Times New Roman"/>
                <w:i/>
                <w:iCs/>
              </w:rPr>
            </w:pPr>
            <w:r w:rsidRPr="002D6A4B">
              <w:rPr>
                <w:rFonts w:eastAsia="Times New Roman"/>
                <w:i/>
                <w:iCs/>
              </w:rPr>
              <w:lastRenderedPageBreak/>
              <w:t xml:space="preserve">Pre-populate renewal forms for </w:t>
            </w:r>
            <w:r w:rsidR="00475A31" w:rsidRPr="00475A31">
              <w:rPr>
                <w:rFonts w:eastAsia="Times New Roman"/>
                <w:i/>
                <w:iCs/>
              </w:rPr>
              <w:t>individuals enrolled on a basis other than MAGI,</w:t>
            </w:r>
            <w:r w:rsidR="00E04D78">
              <w:rPr>
                <w:rFonts w:eastAsia="Times New Roman"/>
                <w:i/>
                <w:iCs/>
              </w:rPr>
              <w:t xml:space="preserve"> including those that are eligible on the basis of being aged, blind or disabled</w:t>
            </w:r>
          </w:p>
          <w:p w14:paraId="33F13B97" w14:textId="77777777" w:rsidR="00E965B1" w:rsidRPr="002D6A4B" w:rsidRDefault="00E965B1" w:rsidP="00DA2575">
            <w:pPr>
              <w:pStyle w:val="ListParagraph"/>
              <w:numPr>
                <w:ilvl w:val="0"/>
                <w:numId w:val="18"/>
              </w:numPr>
              <w:spacing w:line="256" w:lineRule="auto"/>
              <w:ind w:left="1080"/>
              <w:rPr>
                <w:rFonts w:eastAsia="Times New Roman"/>
                <w:i/>
                <w:iCs/>
              </w:rPr>
            </w:pPr>
            <w:r w:rsidRPr="002D6A4B">
              <w:rPr>
                <w:rFonts w:eastAsia="Times New Roman"/>
                <w:i/>
                <w:iCs/>
              </w:rPr>
              <w:t>Revise instructions on pre-populated form</w:t>
            </w:r>
            <w:r>
              <w:rPr>
                <w:rFonts w:eastAsia="Times New Roman"/>
                <w:i/>
                <w:iCs/>
              </w:rPr>
              <w:t>s</w:t>
            </w:r>
            <w:r w:rsidRPr="002D6A4B">
              <w:rPr>
                <w:rFonts w:eastAsia="Times New Roman"/>
                <w:i/>
                <w:iCs/>
              </w:rPr>
              <w:t xml:space="preserve"> to make clear requests for additional information as well as the process and timeframe for returning documents/information</w:t>
            </w:r>
          </w:p>
          <w:p w14:paraId="4887DB4F" w14:textId="749F7156" w:rsidR="00E965B1" w:rsidRPr="002D6A4B" w:rsidRDefault="00E965B1" w:rsidP="00DA2575">
            <w:pPr>
              <w:pStyle w:val="ListParagraph"/>
              <w:numPr>
                <w:ilvl w:val="0"/>
                <w:numId w:val="18"/>
              </w:numPr>
              <w:spacing w:line="256" w:lineRule="auto"/>
              <w:ind w:left="1080"/>
              <w:rPr>
                <w:rFonts w:eastAsia="Times New Roman"/>
                <w:i/>
                <w:iCs/>
              </w:rPr>
            </w:pPr>
            <w:r w:rsidRPr="002D6A4B">
              <w:rPr>
                <w:rFonts w:eastAsia="Times New Roman"/>
                <w:i/>
                <w:iCs/>
              </w:rPr>
              <w:t xml:space="preserve">Extend the deadline for responding to requests for additional information (e.g., </w:t>
            </w:r>
            <w:r w:rsidR="00E04D78">
              <w:rPr>
                <w:rFonts w:eastAsia="Times New Roman"/>
                <w:i/>
                <w:iCs/>
              </w:rPr>
              <w:t xml:space="preserve">increase </w:t>
            </w:r>
            <w:r w:rsidR="007E174E">
              <w:rPr>
                <w:rFonts w:eastAsia="Times New Roman"/>
                <w:i/>
                <w:iCs/>
              </w:rPr>
              <w:t xml:space="preserve">the </w:t>
            </w:r>
            <w:r w:rsidR="00E04D78">
              <w:rPr>
                <w:rFonts w:eastAsia="Times New Roman"/>
                <w:i/>
                <w:iCs/>
              </w:rPr>
              <w:t xml:space="preserve">time </w:t>
            </w:r>
            <w:r w:rsidR="00766FEE">
              <w:rPr>
                <w:rFonts w:eastAsia="Times New Roman"/>
                <w:i/>
                <w:iCs/>
              </w:rPr>
              <w:t>individuals</w:t>
            </w:r>
            <w:r w:rsidR="00E04D78">
              <w:rPr>
                <w:rFonts w:eastAsia="Times New Roman"/>
                <w:i/>
                <w:iCs/>
              </w:rPr>
              <w:t xml:space="preserve"> have to respond to a renewal form </w:t>
            </w:r>
            <w:r w:rsidRPr="002D6A4B">
              <w:rPr>
                <w:rFonts w:eastAsia="Times New Roman"/>
                <w:i/>
                <w:iCs/>
              </w:rPr>
              <w:t>from 30 days to 45 days)</w:t>
            </w:r>
          </w:p>
          <w:p w14:paraId="1EF53C2B" w14:textId="77777777" w:rsidR="00E965B1" w:rsidRPr="002D6A4B" w:rsidRDefault="00E04D78" w:rsidP="00DA2575">
            <w:pPr>
              <w:pStyle w:val="ListParagraph"/>
              <w:numPr>
                <w:ilvl w:val="0"/>
                <w:numId w:val="18"/>
              </w:numPr>
              <w:spacing w:line="256" w:lineRule="auto"/>
              <w:ind w:left="1080"/>
              <w:rPr>
                <w:rFonts w:eastAsia="Times New Roman"/>
                <w:i/>
                <w:iCs/>
              </w:rPr>
            </w:pPr>
            <w:r>
              <w:rPr>
                <w:rFonts w:eastAsia="Times New Roman"/>
                <w:i/>
                <w:iCs/>
              </w:rPr>
              <w:t xml:space="preserve">Provide a </w:t>
            </w:r>
            <w:r w:rsidR="0059332E" w:rsidRPr="0059332E">
              <w:rPr>
                <w:rFonts w:eastAsia="Times New Roman"/>
                <w:i/>
                <w:iCs/>
              </w:rPr>
              <w:t xml:space="preserve">90-day (or longer) </w:t>
            </w:r>
            <w:r>
              <w:rPr>
                <w:rFonts w:eastAsia="Times New Roman"/>
                <w:i/>
                <w:iCs/>
              </w:rPr>
              <w:t xml:space="preserve">reconsideration period for non-MAGI enrollees who do not respond to the </w:t>
            </w:r>
            <w:r w:rsidR="00A53074">
              <w:rPr>
                <w:rFonts w:eastAsia="Times New Roman"/>
                <w:i/>
                <w:iCs/>
              </w:rPr>
              <w:t>renewal form</w:t>
            </w:r>
            <w:r>
              <w:rPr>
                <w:rFonts w:eastAsia="Times New Roman"/>
                <w:i/>
                <w:iCs/>
              </w:rPr>
              <w:t>, as is required for MAGI populations</w:t>
            </w:r>
          </w:p>
          <w:p w14:paraId="411208A0" w14:textId="1334C555" w:rsidR="00E965B1" w:rsidRDefault="006F7FF5" w:rsidP="00DA2575">
            <w:pPr>
              <w:pStyle w:val="ListParagraph"/>
              <w:numPr>
                <w:ilvl w:val="0"/>
                <w:numId w:val="18"/>
              </w:numPr>
              <w:spacing w:line="256" w:lineRule="auto"/>
              <w:ind w:left="1080"/>
              <w:rPr>
                <w:rFonts w:eastAsia="Times New Roman"/>
                <w:i/>
                <w:iCs/>
              </w:rPr>
            </w:pPr>
            <w:r>
              <w:rPr>
                <w:rFonts w:eastAsia="Times New Roman"/>
                <w:i/>
                <w:iCs/>
              </w:rPr>
              <w:t>Implement</w:t>
            </w:r>
            <w:r w:rsidR="00E965B1" w:rsidRPr="002D6A4B">
              <w:rPr>
                <w:rFonts w:eastAsia="Times New Roman"/>
                <w:i/>
                <w:iCs/>
              </w:rPr>
              <w:t xml:space="preserve"> a reconsideration period after termination due to a change in circumstances for </w:t>
            </w:r>
            <w:r w:rsidR="004C3E37" w:rsidRPr="004C3E37">
              <w:rPr>
                <w:rFonts w:eastAsia="Times New Roman"/>
                <w:i/>
                <w:iCs/>
              </w:rPr>
              <w:t>all individuals enrolled in Medicaid and CHIP (on both a MAGI and non-MAGI basis)</w:t>
            </w:r>
            <w:r w:rsidR="00E965B1" w:rsidRPr="002D6A4B">
              <w:rPr>
                <w:rFonts w:eastAsia="Times New Roman"/>
                <w:i/>
                <w:iCs/>
              </w:rPr>
              <w:t xml:space="preserve"> </w:t>
            </w:r>
          </w:p>
          <w:p w14:paraId="6BE1B525" w14:textId="77777777" w:rsidR="00DA1B56" w:rsidRPr="002D6A4B" w:rsidRDefault="00DA1B56" w:rsidP="00DA2575">
            <w:pPr>
              <w:pStyle w:val="ListParagraph"/>
              <w:numPr>
                <w:ilvl w:val="0"/>
                <w:numId w:val="18"/>
              </w:numPr>
              <w:spacing w:line="256" w:lineRule="auto"/>
              <w:ind w:left="1080"/>
              <w:rPr>
                <w:rFonts w:eastAsia="Times New Roman"/>
                <w:i/>
                <w:iCs/>
              </w:rPr>
            </w:pPr>
            <w:r w:rsidRPr="00DA1B56">
              <w:rPr>
                <w:rFonts w:eastAsia="Times New Roman"/>
                <w:i/>
                <w:iCs/>
              </w:rPr>
              <w:t>Update verification plans to accept reasonable explanations of inconsistencies or to allow for self-attestation of certain eligibility criteria for which documentation may be difficult for individuals to obtain</w:t>
            </w:r>
          </w:p>
          <w:p w14:paraId="0F17D8D6" w14:textId="0E53BCCA" w:rsidR="00E04D78" w:rsidRPr="003345FB" w:rsidRDefault="00E965B1" w:rsidP="00DA2575">
            <w:pPr>
              <w:numPr>
                <w:ilvl w:val="0"/>
                <w:numId w:val="18"/>
              </w:numPr>
              <w:ind w:left="1080"/>
              <w:rPr>
                <w:rFonts w:eastAsia="Times New Roman"/>
                <w:i/>
                <w:iCs/>
              </w:rPr>
            </w:pPr>
            <w:r w:rsidRPr="002D6A4B">
              <w:rPr>
                <w:rFonts w:eastAsia="Times New Roman"/>
                <w:i/>
                <w:iCs/>
              </w:rPr>
              <w:t xml:space="preserve">Create specialized units to process complex/time-consuming redeterminations (e.g., renewals for </w:t>
            </w:r>
            <w:r w:rsidR="00D80362" w:rsidRPr="00D80362">
              <w:rPr>
                <w:rFonts w:eastAsia="Times New Roman"/>
                <w:i/>
                <w:iCs/>
              </w:rPr>
              <w:t>households</w:t>
            </w:r>
            <w:r w:rsidRPr="002D6A4B">
              <w:rPr>
                <w:rFonts w:eastAsia="Times New Roman"/>
                <w:i/>
                <w:iCs/>
              </w:rPr>
              <w:t xml:space="preserve"> with self-employment income or </w:t>
            </w:r>
            <w:r w:rsidR="00DD3D62">
              <w:rPr>
                <w:rFonts w:eastAsia="Times New Roman"/>
                <w:i/>
                <w:iCs/>
              </w:rPr>
              <w:t>individuals</w:t>
            </w:r>
            <w:r w:rsidRPr="002D6A4B">
              <w:rPr>
                <w:rFonts w:eastAsia="Times New Roman"/>
                <w:i/>
                <w:iCs/>
              </w:rPr>
              <w:t xml:space="preserve"> without a fixed address) </w:t>
            </w:r>
          </w:p>
        </w:tc>
        <w:tc>
          <w:tcPr>
            <w:tcW w:w="9810" w:type="dxa"/>
            <w:vMerge/>
          </w:tcPr>
          <w:p w14:paraId="20E63CD8" w14:textId="77777777" w:rsidR="00E965B1" w:rsidRPr="00BD77C8" w:rsidRDefault="00E965B1" w:rsidP="00E04D78">
            <w:pPr>
              <w:pStyle w:val="BodyText"/>
              <w:spacing w:before="7"/>
              <w:ind w:firstLine="60"/>
            </w:pPr>
          </w:p>
        </w:tc>
      </w:tr>
      <w:tr w:rsidR="00E965B1" w:rsidRPr="00BD77C8" w14:paraId="00C99C93" w14:textId="77777777" w:rsidTr="6493D36F">
        <w:trPr>
          <w:trHeight w:val="443"/>
        </w:trPr>
        <w:tc>
          <w:tcPr>
            <w:tcW w:w="6930" w:type="dxa"/>
          </w:tcPr>
          <w:p w14:paraId="4334E464" w14:textId="77777777" w:rsidR="00E965B1" w:rsidRPr="00AB2A6B" w:rsidRDefault="00E965B1" w:rsidP="00DA2575">
            <w:pPr>
              <w:pStyle w:val="BodyText"/>
              <w:numPr>
                <w:ilvl w:val="0"/>
                <w:numId w:val="14"/>
              </w:numPr>
              <w:spacing w:before="7"/>
              <w:rPr>
                <w:rFonts w:eastAsia="Times New Roman"/>
              </w:rPr>
            </w:pPr>
            <w:r>
              <w:rPr>
                <w:rFonts w:eastAsia="Times New Roman"/>
              </w:rPr>
              <w:t>Assess systems capacity for revising renewal dates and develop workaround for systems limitations</w:t>
            </w:r>
          </w:p>
        </w:tc>
        <w:tc>
          <w:tcPr>
            <w:tcW w:w="9810" w:type="dxa"/>
            <w:vMerge/>
          </w:tcPr>
          <w:p w14:paraId="5F2A9CAE" w14:textId="77777777" w:rsidR="00E965B1" w:rsidRPr="00BD77C8" w:rsidRDefault="00E965B1" w:rsidP="00E04D78">
            <w:pPr>
              <w:pStyle w:val="BodyText"/>
              <w:spacing w:before="7"/>
              <w:ind w:firstLine="60"/>
            </w:pPr>
          </w:p>
        </w:tc>
      </w:tr>
      <w:tr w:rsidR="003B300E" w:rsidRPr="00BD77C8" w14:paraId="366925D9" w14:textId="77777777" w:rsidTr="6493D36F">
        <w:trPr>
          <w:trHeight w:val="443"/>
        </w:trPr>
        <w:tc>
          <w:tcPr>
            <w:tcW w:w="6930" w:type="dxa"/>
          </w:tcPr>
          <w:p w14:paraId="51887351" w14:textId="77777777" w:rsidR="003B300E" w:rsidRPr="003B300E" w:rsidRDefault="003B300E" w:rsidP="00DA2575">
            <w:pPr>
              <w:pStyle w:val="BodyText"/>
              <w:numPr>
                <w:ilvl w:val="0"/>
                <w:numId w:val="14"/>
              </w:numPr>
              <w:spacing w:before="7"/>
              <w:rPr>
                <w:rFonts w:eastAsia="Times New Roman"/>
              </w:rPr>
            </w:pPr>
            <w:r>
              <w:rPr>
                <w:rFonts w:eastAsia="Times New Roman"/>
              </w:rPr>
              <w:t>Provide benefits pending the outcome of a fair hearing to individuals who request a fair hearing prior to the date of action.</w:t>
            </w:r>
          </w:p>
        </w:tc>
        <w:tc>
          <w:tcPr>
            <w:tcW w:w="9810" w:type="dxa"/>
            <w:vMerge/>
          </w:tcPr>
          <w:p w14:paraId="7ABCC1F1" w14:textId="77777777" w:rsidR="003B300E" w:rsidRPr="00BD77C8" w:rsidRDefault="003B300E" w:rsidP="00E04D78">
            <w:pPr>
              <w:pStyle w:val="BodyText"/>
              <w:spacing w:before="7"/>
              <w:ind w:firstLine="60"/>
            </w:pPr>
          </w:p>
        </w:tc>
      </w:tr>
      <w:tr w:rsidR="003B300E" w:rsidRPr="00BD77C8" w14:paraId="7D09C0F2" w14:textId="77777777" w:rsidTr="6493D36F">
        <w:trPr>
          <w:trHeight w:val="443"/>
        </w:trPr>
        <w:tc>
          <w:tcPr>
            <w:tcW w:w="6930" w:type="dxa"/>
          </w:tcPr>
          <w:p w14:paraId="7ADDD3DD" w14:textId="77777777" w:rsidR="003B300E" w:rsidRDefault="003B300E" w:rsidP="00DA2575">
            <w:pPr>
              <w:pStyle w:val="BodyText"/>
              <w:numPr>
                <w:ilvl w:val="0"/>
                <w:numId w:val="14"/>
              </w:numPr>
              <w:spacing w:before="7"/>
              <w:rPr>
                <w:rFonts w:eastAsia="Times New Roman"/>
              </w:rPr>
            </w:pPr>
            <w:r>
              <w:rPr>
                <w:rFonts w:eastAsia="Times New Roman"/>
              </w:rPr>
              <w:t xml:space="preserve">Reinstate benefits pending the outcome of a fair hearing to individuals who request a fair hearing not more than 10 days after the date of </w:t>
            </w:r>
            <w:r>
              <w:rPr>
                <w:rFonts w:eastAsia="Times New Roman"/>
              </w:rPr>
              <w:lastRenderedPageBreak/>
              <w:t>action.</w:t>
            </w:r>
          </w:p>
        </w:tc>
        <w:tc>
          <w:tcPr>
            <w:tcW w:w="9810" w:type="dxa"/>
            <w:vMerge/>
          </w:tcPr>
          <w:p w14:paraId="2B15C3EA" w14:textId="77777777" w:rsidR="003B300E" w:rsidRPr="00BD77C8" w:rsidRDefault="003B300E" w:rsidP="00E04D78">
            <w:pPr>
              <w:pStyle w:val="BodyText"/>
              <w:spacing w:before="7"/>
              <w:ind w:firstLine="60"/>
            </w:pPr>
          </w:p>
        </w:tc>
      </w:tr>
      <w:tr w:rsidR="00E965B1" w:rsidRPr="00BD77C8" w14:paraId="311C8A39" w14:textId="77777777" w:rsidTr="6493D36F">
        <w:trPr>
          <w:trHeight w:val="413"/>
        </w:trPr>
        <w:tc>
          <w:tcPr>
            <w:tcW w:w="6930" w:type="dxa"/>
          </w:tcPr>
          <w:p w14:paraId="7A3BF50D" w14:textId="269ED620" w:rsidR="00E965B1" w:rsidRPr="00931074" w:rsidRDefault="00E965B1" w:rsidP="00DA2575">
            <w:pPr>
              <w:pStyle w:val="BodyText"/>
              <w:numPr>
                <w:ilvl w:val="0"/>
                <w:numId w:val="14"/>
              </w:numPr>
              <w:spacing w:before="7"/>
              <w:rPr>
                <w:b/>
                <w:bCs/>
              </w:rPr>
            </w:pPr>
            <w:r>
              <w:rPr>
                <w:b/>
                <w:bCs/>
              </w:rPr>
              <w:t>Other:</w:t>
            </w:r>
            <w:r w:rsidR="00E73D99">
              <w:rPr>
                <w:b/>
                <w:bCs/>
              </w:rPr>
              <w:t xml:space="preserve"> </w:t>
            </w:r>
          </w:p>
        </w:tc>
        <w:tc>
          <w:tcPr>
            <w:tcW w:w="9810" w:type="dxa"/>
            <w:vMerge/>
          </w:tcPr>
          <w:p w14:paraId="6934FEB6" w14:textId="77777777" w:rsidR="00E965B1" w:rsidRPr="00BD77C8" w:rsidRDefault="00E965B1" w:rsidP="00E04D78">
            <w:pPr>
              <w:pStyle w:val="BodyText"/>
              <w:spacing w:before="7"/>
              <w:ind w:firstLine="60"/>
            </w:pPr>
          </w:p>
        </w:tc>
      </w:tr>
    </w:tbl>
    <w:p w14:paraId="2EEF7B15" w14:textId="77777777" w:rsidR="001B51C5" w:rsidRPr="001B51C5" w:rsidRDefault="001B51C5" w:rsidP="001B51C5">
      <w:pPr>
        <w:ind w:left="1080"/>
        <w:contextualSpacing/>
        <w:rPr>
          <w:rFonts w:asciiTheme="minorHAnsi" w:hAnsiTheme="minorHAnsi" w:cstheme="minorHAnsi"/>
          <w:b/>
          <w:bCs/>
        </w:rPr>
      </w:pPr>
    </w:p>
    <w:p w14:paraId="3451AE52" w14:textId="489C2376" w:rsidR="00E965B1" w:rsidRPr="001B51C5" w:rsidRDefault="00E965B1" w:rsidP="00DA2575">
      <w:pPr>
        <w:numPr>
          <w:ilvl w:val="0"/>
          <w:numId w:val="13"/>
        </w:numPr>
        <w:contextualSpacing/>
        <w:rPr>
          <w:rFonts w:asciiTheme="minorHAnsi" w:hAnsiTheme="minorHAnsi" w:cstheme="minorHAnsi"/>
          <w:b/>
          <w:bCs/>
        </w:rPr>
      </w:pPr>
      <w:r>
        <w:rPr>
          <w:rFonts w:asciiTheme="minorHAnsi" w:hAnsiTheme="minorHAnsi" w:cstheme="minorHAnsi"/>
          <w:b/>
          <w:bCs/>
        </w:rPr>
        <w:t xml:space="preserve">Key risk: Inappropriate coverage loss among eligible </w:t>
      </w:r>
      <w:r w:rsidR="00AB0EF2">
        <w:rPr>
          <w:rFonts w:asciiTheme="minorHAnsi" w:hAnsiTheme="minorHAnsi" w:cstheme="minorHAnsi"/>
          <w:b/>
          <w:bCs/>
        </w:rPr>
        <w:t>individuals</w:t>
      </w:r>
      <w:r>
        <w:rPr>
          <w:rFonts w:asciiTheme="minorHAnsi" w:hAnsiTheme="minorHAnsi" w:cstheme="minorHAnsi"/>
          <w:b/>
          <w:bCs/>
        </w:rPr>
        <w:t xml:space="preserve"> due to being unable to reach enrollees</w:t>
      </w:r>
    </w:p>
    <w:p w14:paraId="3C994386" w14:textId="77777777" w:rsidR="001B51C5" w:rsidRPr="001B51C5" w:rsidRDefault="001B51C5" w:rsidP="00F40A19">
      <w:pPr>
        <w:ind w:left="1080"/>
        <w:contextualSpacing/>
        <w:rPr>
          <w:rFonts w:asciiTheme="minorHAnsi" w:hAnsiTheme="minorHAnsi" w:cstheme="minorHAnsi"/>
          <w:b/>
          <w:bCs/>
        </w:rPr>
      </w:pPr>
    </w:p>
    <w:tbl>
      <w:tblPr>
        <w:tblStyle w:val="TableGrid"/>
        <w:tblW w:w="16740" w:type="dxa"/>
        <w:tblInd w:w="715" w:type="dxa"/>
        <w:tblLook w:val="04A0" w:firstRow="1" w:lastRow="0" w:firstColumn="1" w:lastColumn="0" w:noHBand="0" w:noVBand="1"/>
      </w:tblPr>
      <w:tblGrid>
        <w:gridCol w:w="6930"/>
        <w:gridCol w:w="9810"/>
      </w:tblGrid>
      <w:tr w:rsidR="00B41043" w:rsidRPr="00B41043" w14:paraId="71F457ED" w14:textId="77777777" w:rsidTr="6493D36F">
        <w:trPr>
          <w:trHeight w:val="413"/>
          <w:tblHeader/>
        </w:trPr>
        <w:tc>
          <w:tcPr>
            <w:tcW w:w="6930" w:type="dxa"/>
            <w:shd w:val="clear" w:color="auto" w:fill="4F81BD" w:themeFill="accent1"/>
          </w:tcPr>
          <w:p w14:paraId="5EC04D4F" w14:textId="77777777" w:rsidR="00E965B1" w:rsidRPr="00B41043" w:rsidRDefault="00E965B1" w:rsidP="00E04D78">
            <w:pPr>
              <w:rPr>
                <w:rFonts w:asciiTheme="minorHAnsi" w:hAnsiTheme="minorHAnsi" w:cstheme="minorHAnsi"/>
                <w:b/>
                <w:bCs/>
              </w:rPr>
            </w:pPr>
            <w:r w:rsidRPr="00B41043">
              <w:rPr>
                <w:rFonts w:asciiTheme="minorHAnsi" w:hAnsiTheme="minorHAnsi" w:cstheme="minorBidi"/>
                <w:b/>
                <w:bCs/>
              </w:rPr>
              <w:t>Potential Strategies to Mitigate Risk</w:t>
            </w:r>
          </w:p>
        </w:tc>
        <w:tc>
          <w:tcPr>
            <w:tcW w:w="9810" w:type="dxa"/>
            <w:shd w:val="clear" w:color="auto" w:fill="4F81BD" w:themeFill="accent1"/>
          </w:tcPr>
          <w:p w14:paraId="1262C38B" w14:textId="77777777" w:rsidR="00E965B1" w:rsidRPr="00B41043" w:rsidRDefault="00E965B1" w:rsidP="00E04D78">
            <w:pPr>
              <w:rPr>
                <w:rFonts w:asciiTheme="minorHAnsi" w:hAnsiTheme="minorHAnsi" w:cstheme="minorHAnsi"/>
                <w:b/>
                <w:bCs/>
              </w:rPr>
            </w:pPr>
            <w:r w:rsidRPr="00B41043">
              <w:rPr>
                <w:rFonts w:asciiTheme="minorHAnsi" w:hAnsiTheme="minorHAnsi" w:cstheme="minorBidi"/>
                <w:b/>
                <w:bCs/>
              </w:rPr>
              <w:t xml:space="preserve">State Approach and Timeline </w:t>
            </w:r>
          </w:p>
        </w:tc>
      </w:tr>
      <w:tr w:rsidR="00E965B1" w:rsidRPr="00BD77C8" w14:paraId="4B064CAC" w14:textId="77777777" w:rsidTr="0074275D">
        <w:tc>
          <w:tcPr>
            <w:tcW w:w="6930" w:type="dxa"/>
          </w:tcPr>
          <w:p w14:paraId="45DE1449" w14:textId="77777777" w:rsidR="00E965B1" w:rsidRPr="006E7935" w:rsidRDefault="00E965B1" w:rsidP="00DA2575">
            <w:pPr>
              <w:pStyle w:val="BodyText"/>
              <w:numPr>
                <w:ilvl w:val="0"/>
                <w:numId w:val="14"/>
              </w:numPr>
              <w:spacing w:before="7"/>
              <w:rPr>
                <w:rFonts w:eastAsia="Times New Roman"/>
              </w:rPr>
            </w:pPr>
            <w:r>
              <w:rPr>
                <w:rFonts w:eastAsia="Calibri"/>
              </w:rPr>
              <w:t>Implement processes to prevent and address returned mail</w:t>
            </w:r>
            <w:r w:rsidR="00242E83">
              <w:rPr>
                <w:rFonts w:eastAsia="Calibri"/>
              </w:rPr>
              <w:t>:</w:t>
            </w:r>
          </w:p>
          <w:p w14:paraId="73BD11A7" w14:textId="2E139564" w:rsidR="00ED251C" w:rsidRDefault="00ED251C" w:rsidP="00DA2575">
            <w:pPr>
              <w:pStyle w:val="ListParagraph"/>
              <w:numPr>
                <w:ilvl w:val="1"/>
                <w:numId w:val="14"/>
              </w:numPr>
              <w:spacing w:line="256" w:lineRule="auto"/>
              <w:rPr>
                <w:rFonts w:eastAsia="Times New Roman"/>
                <w:i/>
                <w:iCs/>
              </w:rPr>
            </w:pPr>
            <w:r>
              <w:rPr>
                <w:rFonts w:eastAsia="Times New Roman"/>
                <w:i/>
                <w:iCs/>
              </w:rPr>
              <w:t>Engage community-based organizations, application assisters</w:t>
            </w:r>
            <w:r w:rsidR="00925331">
              <w:rPr>
                <w:rFonts w:eastAsia="Times New Roman"/>
                <w:i/>
                <w:iCs/>
              </w:rPr>
              <w:t xml:space="preserve"> </w:t>
            </w:r>
            <w:r w:rsidR="00925331" w:rsidRPr="00925331">
              <w:rPr>
                <w:rFonts w:eastAsia="Times New Roman"/>
                <w:i/>
                <w:iCs/>
              </w:rPr>
              <w:t>(including Navigators and certified application counselors)</w:t>
            </w:r>
            <w:r>
              <w:rPr>
                <w:rFonts w:eastAsia="Times New Roman"/>
                <w:i/>
                <w:iCs/>
              </w:rPr>
              <w:t>, and providers to conduct outreach to remind</w:t>
            </w:r>
            <w:r w:rsidR="004F3ED7">
              <w:t xml:space="preserve"> </w:t>
            </w:r>
            <w:r w:rsidR="004F3ED7" w:rsidRPr="004F3ED7">
              <w:rPr>
                <w:rFonts w:eastAsia="Times New Roman"/>
                <w:i/>
                <w:iCs/>
              </w:rPr>
              <w:t>individuals enrolled in Medicaid, CHIP, and BHP</w:t>
            </w:r>
            <w:r>
              <w:rPr>
                <w:rFonts w:eastAsia="Times New Roman"/>
                <w:i/>
                <w:iCs/>
              </w:rPr>
              <w:t xml:space="preserve"> to provide updated contact information</w:t>
            </w:r>
          </w:p>
          <w:p w14:paraId="375B2B67" w14:textId="714CF16F" w:rsidR="00ED251C" w:rsidRDefault="00ED251C" w:rsidP="00DA2575">
            <w:pPr>
              <w:pStyle w:val="ListParagraph"/>
              <w:numPr>
                <w:ilvl w:val="1"/>
                <w:numId w:val="14"/>
              </w:numPr>
              <w:spacing w:line="256" w:lineRule="auto"/>
              <w:rPr>
                <w:rFonts w:eastAsia="Times New Roman"/>
                <w:i/>
                <w:iCs/>
              </w:rPr>
            </w:pPr>
            <w:r>
              <w:rPr>
                <w:rFonts w:eastAsia="Times New Roman"/>
                <w:i/>
                <w:iCs/>
              </w:rPr>
              <w:t xml:space="preserve">Require managed care plans to seek updated mailing addresses and either share updated information with the state Medicaid </w:t>
            </w:r>
            <w:r w:rsidR="00C70DF6">
              <w:rPr>
                <w:rFonts w:eastAsia="Times New Roman"/>
                <w:i/>
                <w:iCs/>
              </w:rPr>
              <w:t xml:space="preserve">or CHIP </w:t>
            </w:r>
            <w:r>
              <w:rPr>
                <w:rFonts w:eastAsia="Times New Roman"/>
                <w:i/>
                <w:iCs/>
              </w:rPr>
              <w:t xml:space="preserve">agency and/or remind </w:t>
            </w:r>
            <w:r w:rsidR="00AA2905">
              <w:rPr>
                <w:rFonts w:eastAsia="Times New Roman"/>
                <w:i/>
                <w:iCs/>
              </w:rPr>
              <w:t>individuals</w:t>
            </w:r>
            <w:r>
              <w:rPr>
                <w:rFonts w:eastAsia="Times New Roman"/>
                <w:i/>
                <w:iCs/>
              </w:rPr>
              <w:t xml:space="preserve"> to update their contact information with the </w:t>
            </w:r>
            <w:proofErr w:type="gramStart"/>
            <w:r>
              <w:rPr>
                <w:rFonts w:eastAsia="Times New Roman"/>
                <w:i/>
                <w:iCs/>
              </w:rPr>
              <w:t>state</w:t>
            </w:r>
            <w:r w:rsidR="004F5D7A">
              <w:rPr>
                <w:rFonts w:eastAsia="Times New Roman"/>
                <w:i/>
                <w:iCs/>
              </w:rPr>
              <w:t xml:space="preserve">  (</w:t>
            </w:r>
            <w:proofErr w:type="gramEnd"/>
            <w:r w:rsidR="004F5D7A">
              <w:rPr>
                <w:rFonts w:eastAsia="Times New Roman"/>
                <w:i/>
                <w:iCs/>
              </w:rPr>
              <w:t>if the state’s managed care contracts grant the state such authority)</w:t>
            </w:r>
          </w:p>
          <w:p w14:paraId="3F9CF273" w14:textId="77777777" w:rsidR="00ED251C" w:rsidRDefault="00ED251C" w:rsidP="00DA2575">
            <w:pPr>
              <w:pStyle w:val="ListParagraph"/>
              <w:numPr>
                <w:ilvl w:val="1"/>
                <w:numId w:val="14"/>
              </w:numPr>
              <w:spacing w:line="256" w:lineRule="auto"/>
              <w:rPr>
                <w:rFonts w:eastAsia="Times New Roman"/>
                <w:i/>
                <w:iCs/>
              </w:rPr>
            </w:pPr>
            <w:r>
              <w:rPr>
                <w:rFonts w:eastAsia="Times New Roman"/>
                <w:i/>
                <w:iCs/>
              </w:rPr>
              <w:t xml:space="preserve">Identify other data sources that will be leveraged to </w:t>
            </w:r>
            <w:r w:rsidR="00A53074">
              <w:rPr>
                <w:rFonts w:eastAsia="Times New Roman"/>
                <w:i/>
                <w:iCs/>
              </w:rPr>
              <w:t xml:space="preserve">obtain updated </w:t>
            </w:r>
            <w:r>
              <w:rPr>
                <w:rFonts w:eastAsia="Times New Roman"/>
                <w:i/>
                <w:iCs/>
              </w:rPr>
              <w:t>contact information (e.g., managed care plans, the state agency that administers SNAP or TANF, Department of Motor Vehicle records, and/or the U.S. Postal Service National Change of Address database)</w:t>
            </w:r>
          </w:p>
          <w:p w14:paraId="030DEC10" w14:textId="6145140E" w:rsidR="00E965B1" w:rsidRPr="006E7935" w:rsidRDefault="00E965B1" w:rsidP="00DA2575">
            <w:pPr>
              <w:pStyle w:val="ListParagraph"/>
              <w:numPr>
                <w:ilvl w:val="1"/>
                <w:numId w:val="14"/>
              </w:numPr>
              <w:spacing w:line="256" w:lineRule="auto"/>
              <w:rPr>
                <w:rFonts w:eastAsia="Times New Roman"/>
                <w:i/>
                <w:iCs/>
              </w:rPr>
            </w:pPr>
            <w:r w:rsidRPr="006E7935">
              <w:rPr>
                <w:rFonts w:eastAsia="Times New Roman"/>
                <w:i/>
                <w:iCs/>
              </w:rPr>
              <w:t>Send periodic mail</w:t>
            </w:r>
            <w:r w:rsidR="00A53074">
              <w:rPr>
                <w:rFonts w:eastAsia="Times New Roman"/>
                <w:i/>
                <w:iCs/>
              </w:rPr>
              <w:t>ed</w:t>
            </w:r>
            <w:r w:rsidRPr="006E7935">
              <w:rPr>
                <w:rFonts w:eastAsia="Times New Roman"/>
                <w:i/>
                <w:iCs/>
              </w:rPr>
              <w:t xml:space="preserve"> notices, texts, and email/online account alerts reminding </w:t>
            </w:r>
            <w:r w:rsidR="00C67C1D">
              <w:rPr>
                <w:rFonts w:eastAsia="Times New Roman"/>
                <w:i/>
                <w:iCs/>
              </w:rPr>
              <w:t>individuals</w:t>
            </w:r>
            <w:r w:rsidRPr="006E7935">
              <w:rPr>
                <w:rFonts w:eastAsia="Times New Roman"/>
                <w:i/>
                <w:iCs/>
              </w:rPr>
              <w:t xml:space="preserve"> to update their contact information (e.g., on a quarterly basis)</w:t>
            </w:r>
          </w:p>
          <w:p w14:paraId="4825E3D3" w14:textId="34A4901C" w:rsidR="00ED251C" w:rsidRDefault="00ED251C" w:rsidP="00DA2575">
            <w:pPr>
              <w:pStyle w:val="ListParagraph"/>
              <w:numPr>
                <w:ilvl w:val="1"/>
                <w:numId w:val="14"/>
              </w:numPr>
              <w:spacing w:line="256" w:lineRule="auto"/>
              <w:rPr>
                <w:rFonts w:eastAsia="Times New Roman"/>
                <w:i/>
                <w:iCs/>
              </w:rPr>
            </w:pPr>
            <w:r>
              <w:rPr>
                <w:rFonts w:eastAsia="Times New Roman"/>
                <w:i/>
                <w:iCs/>
              </w:rPr>
              <w:t xml:space="preserve">Ensure </w:t>
            </w:r>
            <w:r w:rsidR="00A7146E">
              <w:rPr>
                <w:rFonts w:eastAsia="Times New Roman"/>
                <w:i/>
                <w:iCs/>
              </w:rPr>
              <w:t>individuals</w:t>
            </w:r>
            <w:r>
              <w:rPr>
                <w:rFonts w:eastAsia="Times New Roman"/>
                <w:i/>
                <w:iCs/>
              </w:rPr>
              <w:t xml:space="preserve"> are able to submit updated contact information via all modalities, including mail, </w:t>
            </w:r>
            <w:r w:rsidR="003B0571">
              <w:rPr>
                <w:rFonts w:eastAsia="Times New Roman"/>
                <w:i/>
                <w:iCs/>
              </w:rPr>
              <w:t>tele</w:t>
            </w:r>
            <w:r>
              <w:rPr>
                <w:rFonts w:eastAsia="Times New Roman"/>
                <w:i/>
                <w:iCs/>
              </w:rPr>
              <w:t>phone, and online</w:t>
            </w:r>
          </w:p>
          <w:p w14:paraId="70A1F077" w14:textId="77777777" w:rsidR="00E965B1" w:rsidRPr="006E7935" w:rsidRDefault="00E965B1" w:rsidP="00DA2575">
            <w:pPr>
              <w:pStyle w:val="ListParagraph"/>
              <w:numPr>
                <w:ilvl w:val="1"/>
                <w:numId w:val="14"/>
              </w:numPr>
              <w:spacing w:line="256" w:lineRule="auto"/>
              <w:rPr>
                <w:rFonts w:eastAsia="Times New Roman"/>
                <w:i/>
                <w:iCs/>
              </w:rPr>
            </w:pPr>
            <w:r w:rsidRPr="006E7935">
              <w:rPr>
                <w:rFonts w:eastAsia="Times New Roman"/>
                <w:i/>
                <w:iCs/>
              </w:rPr>
              <w:lastRenderedPageBreak/>
              <w:t xml:space="preserve">Ensure consumer notices and renewal forms include reminders for individuals to update their contact information </w:t>
            </w:r>
          </w:p>
          <w:p w14:paraId="0F92FBC5" w14:textId="77777777" w:rsidR="00E965B1" w:rsidRPr="006E7935" w:rsidRDefault="00E965B1" w:rsidP="00DA2575">
            <w:pPr>
              <w:pStyle w:val="ListParagraph"/>
              <w:numPr>
                <w:ilvl w:val="1"/>
                <w:numId w:val="14"/>
              </w:numPr>
              <w:spacing w:line="256" w:lineRule="auto"/>
              <w:rPr>
                <w:rFonts w:eastAsia="Times New Roman"/>
                <w:i/>
                <w:iCs/>
              </w:rPr>
            </w:pPr>
            <w:r w:rsidRPr="006E7935">
              <w:rPr>
                <w:rFonts w:eastAsia="Times New Roman"/>
                <w:i/>
                <w:iCs/>
              </w:rPr>
              <w:t xml:space="preserve">Revise call center/Enrollment Broker scripts to include requests for updated contact information (e.g., prior to answering any question, inquire about updated contact information) </w:t>
            </w:r>
          </w:p>
          <w:p w14:paraId="14D175D5" w14:textId="77777777" w:rsidR="00625E0F" w:rsidRPr="00625E0F" w:rsidRDefault="00E965B1" w:rsidP="00DA2575">
            <w:pPr>
              <w:pStyle w:val="ListParagraph"/>
              <w:numPr>
                <w:ilvl w:val="1"/>
                <w:numId w:val="14"/>
              </w:numPr>
              <w:spacing w:line="256" w:lineRule="auto"/>
              <w:rPr>
                <w:rFonts w:eastAsia="Times New Roman"/>
                <w:i/>
                <w:iCs/>
              </w:rPr>
            </w:pPr>
            <w:r w:rsidRPr="006E7935">
              <w:rPr>
                <w:rFonts w:eastAsia="Times New Roman"/>
                <w:i/>
                <w:iCs/>
              </w:rPr>
              <w:t xml:space="preserve">Add bolded reminders </w:t>
            </w:r>
            <w:r w:rsidR="00625E0F">
              <w:rPr>
                <w:rFonts w:eastAsia="Times New Roman"/>
                <w:i/>
                <w:iCs/>
              </w:rPr>
              <w:t>to update</w:t>
            </w:r>
            <w:r w:rsidRPr="006E7935">
              <w:rPr>
                <w:rFonts w:eastAsia="Times New Roman"/>
                <w:i/>
                <w:iCs/>
              </w:rPr>
              <w:t xml:space="preserve"> contact information o</w:t>
            </w:r>
            <w:r w:rsidR="00625E0F">
              <w:rPr>
                <w:rFonts w:eastAsia="Times New Roman"/>
                <w:i/>
                <w:iCs/>
              </w:rPr>
              <w:t>n</w:t>
            </w:r>
            <w:r w:rsidRPr="006E7935">
              <w:rPr>
                <w:rFonts w:eastAsia="Times New Roman"/>
                <w:i/>
                <w:iCs/>
              </w:rPr>
              <w:t xml:space="preserve"> Medicaid/</w:t>
            </w:r>
            <w:r w:rsidR="00625E0F">
              <w:rPr>
                <w:rFonts w:eastAsia="Times New Roman"/>
                <w:i/>
                <w:iCs/>
              </w:rPr>
              <w:t>CHIP/</w:t>
            </w:r>
            <w:r w:rsidRPr="006E7935">
              <w:rPr>
                <w:rFonts w:eastAsia="Times New Roman"/>
                <w:i/>
                <w:iCs/>
              </w:rPr>
              <w:t>social services websites</w:t>
            </w:r>
          </w:p>
          <w:p w14:paraId="0612A252" w14:textId="3F528C82" w:rsidR="00CD56A8" w:rsidRPr="00F92EB1" w:rsidRDefault="00CD56A8" w:rsidP="00DA2575">
            <w:pPr>
              <w:pStyle w:val="ListParagraph"/>
              <w:numPr>
                <w:ilvl w:val="1"/>
                <w:numId w:val="14"/>
              </w:numPr>
              <w:spacing w:line="256" w:lineRule="auto"/>
              <w:rPr>
                <w:rFonts w:eastAsia="Times New Roman"/>
                <w:i/>
                <w:iCs/>
              </w:rPr>
            </w:pPr>
            <w:r>
              <w:rPr>
                <w:rFonts w:eastAsia="Times New Roman"/>
                <w:i/>
                <w:iCs/>
              </w:rPr>
              <w:t>A</w:t>
            </w:r>
            <w:r w:rsidRPr="00CD56A8">
              <w:rPr>
                <w:rFonts w:eastAsia="Times New Roman"/>
                <w:i/>
                <w:iCs/>
              </w:rPr>
              <w:t xml:space="preserve">ttempt to contact the </w:t>
            </w:r>
            <w:r>
              <w:rPr>
                <w:rFonts w:eastAsia="Times New Roman"/>
                <w:i/>
                <w:iCs/>
              </w:rPr>
              <w:t>individual</w:t>
            </w:r>
            <w:r w:rsidRPr="00CD56A8">
              <w:rPr>
                <w:rFonts w:eastAsia="Times New Roman"/>
                <w:i/>
                <w:iCs/>
              </w:rPr>
              <w:t xml:space="preserve"> by mail and send notices to both the current address on file and the forwarding address, if one is provided, requesting that the</w:t>
            </w:r>
            <w:r w:rsidR="00DF5CBD">
              <w:rPr>
                <w:rFonts w:eastAsia="Times New Roman"/>
                <w:i/>
                <w:iCs/>
              </w:rPr>
              <w:t xml:space="preserve"> individual</w:t>
            </w:r>
            <w:r w:rsidRPr="00CD56A8">
              <w:rPr>
                <w:rFonts w:eastAsia="Times New Roman"/>
                <w:i/>
                <w:iCs/>
              </w:rPr>
              <w:t xml:space="preserve"> confirm the new address provided by USPS</w:t>
            </w:r>
          </w:p>
          <w:p w14:paraId="42A227DF" w14:textId="4C8942A1" w:rsidR="00E965B1" w:rsidRPr="006E7935" w:rsidRDefault="00E965B1" w:rsidP="00DA2575">
            <w:pPr>
              <w:pStyle w:val="ListParagraph"/>
              <w:numPr>
                <w:ilvl w:val="1"/>
                <w:numId w:val="14"/>
              </w:numPr>
              <w:spacing w:line="256" w:lineRule="auto"/>
              <w:rPr>
                <w:rFonts w:eastAsia="Times New Roman"/>
                <w:i/>
                <w:iCs/>
              </w:rPr>
            </w:pPr>
            <w:r w:rsidRPr="006E7935">
              <w:rPr>
                <w:rFonts w:eastAsia="Times New Roman"/>
                <w:i/>
                <w:iCs/>
              </w:rPr>
              <w:t>Provide clear guidance and update policy manuals to ensure that staff know what specific actions they should take in response to different forms of returned mail, including:</w:t>
            </w:r>
            <w:r w:rsidR="00E73D99">
              <w:rPr>
                <w:rFonts w:eastAsia="Times New Roman"/>
                <w:i/>
                <w:iCs/>
              </w:rPr>
              <w:t xml:space="preserve"> </w:t>
            </w:r>
          </w:p>
          <w:p w14:paraId="61E07864" w14:textId="7480E8D8" w:rsidR="00625E0F" w:rsidRPr="00625E0F" w:rsidRDefault="00E965B1" w:rsidP="00DA2575">
            <w:pPr>
              <w:pStyle w:val="ListParagraph"/>
              <w:numPr>
                <w:ilvl w:val="2"/>
                <w:numId w:val="14"/>
              </w:numPr>
              <w:spacing w:line="256" w:lineRule="auto"/>
              <w:rPr>
                <w:rFonts w:eastAsia="Times New Roman"/>
                <w:i/>
                <w:iCs/>
              </w:rPr>
            </w:pPr>
            <w:r w:rsidRPr="002217B4">
              <w:rPr>
                <w:rFonts w:eastAsia="Times New Roman"/>
                <w:b/>
                <w:bCs/>
                <w:i/>
                <w:iCs/>
              </w:rPr>
              <w:t xml:space="preserve">Mail that is </w:t>
            </w:r>
            <w:r w:rsidR="00625E0F" w:rsidRPr="002217B4">
              <w:rPr>
                <w:rFonts w:eastAsia="Times New Roman"/>
                <w:b/>
                <w:bCs/>
                <w:i/>
                <w:iCs/>
              </w:rPr>
              <w:t>returned with an in-state forwarding address</w:t>
            </w:r>
            <w:r w:rsidR="00625E0F" w:rsidRPr="00625E0F">
              <w:rPr>
                <w:rFonts w:eastAsia="Times New Roman"/>
                <w:i/>
                <w:iCs/>
              </w:rPr>
              <w:t xml:space="preserve">: </w:t>
            </w:r>
            <w:r w:rsidR="00625E0F" w:rsidRPr="00BF237E">
              <w:rPr>
                <w:rFonts w:eastAsia="Times New Roman"/>
                <w:i/>
                <w:iCs/>
              </w:rPr>
              <w:t xml:space="preserve">States </w:t>
            </w:r>
            <w:r w:rsidR="000C1FF1" w:rsidRPr="00BF237E">
              <w:rPr>
                <w:i/>
                <w:iCs/>
              </w:rPr>
              <w:t xml:space="preserve">are strongly encouraged to verify the information by sending notice by mail to the current address and also to the forwarding address and attempt to contact the </w:t>
            </w:r>
            <w:r w:rsidR="00BF237E">
              <w:rPr>
                <w:i/>
                <w:iCs/>
              </w:rPr>
              <w:t>individual</w:t>
            </w:r>
            <w:r w:rsidR="000C1FF1" w:rsidRPr="00BF237E">
              <w:rPr>
                <w:i/>
                <w:iCs/>
              </w:rPr>
              <w:t xml:space="preserve"> using one or more other modalities</w:t>
            </w:r>
            <w:r w:rsidR="00096D3A" w:rsidRPr="00BF237E">
              <w:rPr>
                <w:i/>
                <w:iCs/>
              </w:rPr>
              <w:t xml:space="preserve">, </w:t>
            </w:r>
            <w:r w:rsidR="00096D3A" w:rsidRPr="00BF237E">
              <w:rPr>
                <w:rFonts w:eastAsia="Times New Roman"/>
                <w:i/>
                <w:iCs/>
              </w:rPr>
              <w:t>such as by phone, electronic notice, email, or text messaging as permissible</w:t>
            </w:r>
            <w:r w:rsidR="000C1FF1" w:rsidRPr="00BF237E">
              <w:rPr>
                <w:i/>
                <w:iCs/>
              </w:rPr>
              <w:t>.</w:t>
            </w:r>
            <w:r w:rsidR="00E73D99">
              <w:rPr>
                <w:i/>
                <w:iCs/>
              </w:rPr>
              <w:t xml:space="preserve"> </w:t>
            </w:r>
            <w:r w:rsidR="000C1FF1" w:rsidRPr="00BF237E">
              <w:rPr>
                <w:i/>
                <w:iCs/>
              </w:rPr>
              <w:t xml:space="preserve">States may accept the USPS in-state forwarding address and update the </w:t>
            </w:r>
            <w:r w:rsidR="00BF237E">
              <w:rPr>
                <w:i/>
                <w:iCs/>
              </w:rPr>
              <w:t>individual</w:t>
            </w:r>
            <w:r w:rsidR="000C1FF1" w:rsidRPr="00BF237E">
              <w:rPr>
                <w:i/>
                <w:iCs/>
              </w:rPr>
              <w:t>’s record provided that the state first sends a notice to the current address on file confirming the accuracy of the information.</w:t>
            </w:r>
            <w:r w:rsidR="00E73D99">
              <w:rPr>
                <w:i/>
                <w:iCs/>
              </w:rPr>
              <w:t xml:space="preserve"> </w:t>
            </w:r>
            <w:r w:rsidR="002973D0">
              <w:rPr>
                <w:i/>
                <w:iCs/>
              </w:rPr>
              <w:t xml:space="preserve"> </w:t>
            </w:r>
            <w:r w:rsidR="00D501B1" w:rsidRPr="00BF237E">
              <w:rPr>
                <w:i/>
                <w:iCs/>
              </w:rPr>
              <w:t>States</w:t>
            </w:r>
            <w:r w:rsidR="000C1FF1" w:rsidRPr="00BF237E">
              <w:rPr>
                <w:i/>
                <w:iCs/>
              </w:rPr>
              <w:t xml:space="preserve"> may not terminate coverage if the state does not receive a response to the request for confirmation of an in-state address change, even if the state does not update the </w:t>
            </w:r>
            <w:r w:rsidR="003F0304">
              <w:rPr>
                <w:i/>
                <w:iCs/>
              </w:rPr>
              <w:t>individual</w:t>
            </w:r>
            <w:r w:rsidR="000C1FF1" w:rsidRPr="00BF237E">
              <w:rPr>
                <w:i/>
                <w:iCs/>
              </w:rPr>
              <w:t>’s record with the new in-state address.</w:t>
            </w:r>
            <w:r w:rsidR="00E73D99">
              <w:t xml:space="preserve"> </w:t>
            </w:r>
          </w:p>
          <w:p w14:paraId="7B77811F" w14:textId="1071990A" w:rsidR="00625E0F" w:rsidRPr="00625E0F" w:rsidRDefault="00625E0F" w:rsidP="00DA2575">
            <w:pPr>
              <w:pStyle w:val="ListParagraph"/>
              <w:numPr>
                <w:ilvl w:val="2"/>
                <w:numId w:val="14"/>
              </w:numPr>
              <w:spacing w:line="256" w:lineRule="auto"/>
              <w:rPr>
                <w:rFonts w:eastAsia="Times New Roman"/>
                <w:i/>
                <w:iCs/>
              </w:rPr>
            </w:pPr>
            <w:r w:rsidRPr="002217B4">
              <w:rPr>
                <w:rFonts w:eastAsia="Times New Roman"/>
                <w:b/>
                <w:bCs/>
                <w:i/>
                <w:iCs/>
              </w:rPr>
              <w:lastRenderedPageBreak/>
              <w:t>Mail that is returned with an out-of-state forwarding address</w:t>
            </w:r>
            <w:r w:rsidRPr="00625E0F">
              <w:rPr>
                <w:rFonts w:eastAsia="Times New Roman"/>
                <w:i/>
                <w:iCs/>
              </w:rPr>
              <w:t>: States</w:t>
            </w:r>
            <w:r w:rsidR="00F608ED">
              <w:rPr>
                <w:rFonts w:eastAsia="Times New Roman"/>
                <w:i/>
                <w:iCs/>
              </w:rPr>
              <w:t xml:space="preserve"> </w:t>
            </w:r>
            <w:r w:rsidR="00F608ED" w:rsidRPr="00F608ED">
              <w:rPr>
                <w:rFonts w:eastAsia="Times New Roman"/>
                <w:i/>
                <w:iCs/>
              </w:rPr>
              <w:t xml:space="preserve">must send notice and attempt to contact the </w:t>
            </w:r>
            <w:r w:rsidR="003F0304">
              <w:rPr>
                <w:rFonts w:eastAsia="Times New Roman"/>
                <w:i/>
                <w:iCs/>
              </w:rPr>
              <w:t>individual</w:t>
            </w:r>
            <w:r w:rsidR="00F608ED" w:rsidRPr="00F608ED">
              <w:rPr>
                <w:rFonts w:eastAsia="Times New Roman"/>
                <w:i/>
                <w:iCs/>
              </w:rPr>
              <w:t xml:space="preserve"> to confirm the accuracy of the information and verify continued state residency.</w:t>
            </w:r>
            <w:r w:rsidR="00E73D99">
              <w:rPr>
                <w:rFonts w:eastAsia="Times New Roman"/>
                <w:i/>
                <w:iCs/>
              </w:rPr>
              <w:t xml:space="preserve"> </w:t>
            </w:r>
            <w:r w:rsidR="007464B7">
              <w:rPr>
                <w:rFonts w:eastAsia="Times New Roman"/>
                <w:i/>
                <w:iCs/>
              </w:rPr>
              <w:t>S</w:t>
            </w:r>
            <w:r w:rsidR="00F608ED" w:rsidRPr="00F608ED">
              <w:rPr>
                <w:rFonts w:eastAsia="Times New Roman"/>
                <w:i/>
                <w:iCs/>
              </w:rPr>
              <w:t>tate</w:t>
            </w:r>
            <w:r w:rsidR="007464B7">
              <w:rPr>
                <w:rFonts w:eastAsia="Times New Roman"/>
                <w:i/>
                <w:iCs/>
              </w:rPr>
              <w:t>s</w:t>
            </w:r>
            <w:r w:rsidR="00F608ED" w:rsidRPr="00F608ED">
              <w:rPr>
                <w:rFonts w:eastAsia="Times New Roman"/>
                <w:i/>
                <w:iCs/>
              </w:rPr>
              <w:t xml:space="preserve"> must send notice consistent with the </w:t>
            </w:r>
            <w:r w:rsidR="003F0304">
              <w:rPr>
                <w:rFonts w:eastAsia="Times New Roman"/>
                <w:i/>
                <w:iCs/>
              </w:rPr>
              <w:t>individual</w:t>
            </w:r>
            <w:r w:rsidR="00F608ED" w:rsidRPr="00F608ED">
              <w:rPr>
                <w:rFonts w:eastAsia="Times New Roman"/>
                <w:i/>
                <w:iCs/>
              </w:rPr>
              <w:t xml:space="preserve">’s elected format, either electronically or by mail, to the current address the state has on file, requesting that the </w:t>
            </w:r>
            <w:r w:rsidR="003F0304">
              <w:rPr>
                <w:rFonts w:eastAsia="Times New Roman"/>
                <w:i/>
                <w:iCs/>
              </w:rPr>
              <w:t>individu</w:t>
            </w:r>
            <w:r w:rsidR="007F1EA9">
              <w:rPr>
                <w:rFonts w:eastAsia="Times New Roman"/>
                <w:i/>
                <w:iCs/>
              </w:rPr>
              <w:t>al</w:t>
            </w:r>
            <w:r w:rsidR="00F608ED" w:rsidRPr="00F608ED">
              <w:rPr>
                <w:rFonts w:eastAsia="Times New Roman"/>
                <w:i/>
                <w:iCs/>
              </w:rPr>
              <w:t xml:space="preserve"> confirm the address and state residency.</w:t>
            </w:r>
            <w:r w:rsidR="00E73D99">
              <w:rPr>
                <w:rFonts w:eastAsia="Times New Roman"/>
                <w:i/>
                <w:iCs/>
              </w:rPr>
              <w:t xml:space="preserve"> </w:t>
            </w:r>
            <w:r w:rsidR="00F608ED" w:rsidRPr="00F608ED">
              <w:rPr>
                <w:rFonts w:eastAsia="Times New Roman"/>
                <w:i/>
                <w:iCs/>
              </w:rPr>
              <w:t xml:space="preserve">States are strongly encouraged also to send notice to the out-of-state forwarding address and/or other address provided by a third party, attempt to locate the </w:t>
            </w:r>
            <w:r w:rsidR="007464B7">
              <w:rPr>
                <w:rFonts w:eastAsia="Times New Roman"/>
                <w:i/>
                <w:iCs/>
              </w:rPr>
              <w:t>individual</w:t>
            </w:r>
            <w:r w:rsidR="00F608ED" w:rsidRPr="00F608ED">
              <w:rPr>
                <w:rFonts w:eastAsia="Times New Roman"/>
                <w:i/>
                <w:iCs/>
              </w:rPr>
              <w:t xml:space="preserve"> using other electronic or telephonic modalities, and by checking third-party data sources for more recent address information. </w:t>
            </w:r>
            <w:r w:rsidR="002973D0">
              <w:rPr>
                <w:rFonts w:eastAsia="Times New Roman"/>
                <w:i/>
                <w:iCs/>
              </w:rPr>
              <w:t xml:space="preserve"> </w:t>
            </w:r>
            <w:r w:rsidR="00F608ED" w:rsidRPr="00F608ED">
              <w:rPr>
                <w:rFonts w:eastAsia="Times New Roman"/>
                <w:i/>
                <w:iCs/>
              </w:rPr>
              <w:t xml:space="preserve">If the </w:t>
            </w:r>
            <w:r w:rsidR="007464B7">
              <w:rPr>
                <w:rFonts w:eastAsia="Times New Roman"/>
                <w:i/>
                <w:iCs/>
              </w:rPr>
              <w:t>individual</w:t>
            </w:r>
            <w:r w:rsidR="00F608ED" w:rsidRPr="00F608ED">
              <w:rPr>
                <w:rFonts w:eastAsia="Times New Roman"/>
                <w:i/>
                <w:iCs/>
              </w:rPr>
              <w:t xml:space="preserve"> does not respond with the requested information, or the information provided does not establish the </w:t>
            </w:r>
            <w:r w:rsidR="00633789">
              <w:rPr>
                <w:rFonts w:eastAsia="Times New Roman"/>
                <w:i/>
                <w:iCs/>
              </w:rPr>
              <w:t>indiv</w:t>
            </w:r>
            <w:r w:rsidR="00335A96">
              <w:rPr>
                <w:rFonts w:eastAsia="Times New Roman"/>
                <w:i/>
                <w:iCs/>
              </w:rPr>
              <w:t>idual</w:t>
            </w:r>
            <w:r w:rsidR="00F608ED" w:rsidRPr="00F608ED">
              <w:rPr>
                <w:rFonts w:eastAsia="Times New Roman"/>
                <w:i/>
                <w:iCs/>
              </w:rPr>
              <w:t>’s continued state residency, the state must provide advance notice of termination or other adverse action and fair hearing rights consistent with 42 C.F.R. §§ 431.206-214.</w:t>
            </w:r>
            <w:r w:rsidR="00E73D99">
              <w:rPr>
                <w:rFonts w:eastAsia="Times New Roman"/>
                <w:i/>
                <w:iCs/>
              </w:rPr>
              <w:t xml:space="preserve"> </w:t>
            </w:r>
          </w:p>
          <w:p w14:paraId="32A17893" w14:textId="7108BDC4" w:rsidR="00625E0F" w:rsidRPr="00625E0F" w:rsidRDefault="00625E0F" w:rsidP="00DA2575">
            <w:pPr>
              <w:pStyle w:val="ListParagraph"/>
              <w:numPr>
                <w:ilvl w:val="2"/>
                <w:numId w:val="14"/>
              </w:numPr>
              <w:spacing w:line="256" w:lineRule="auto"/>
              <w:rPr>
                <w:rFonts w:eastAsia="Times New Roman"/>
                <w:i/>
                <w:iCs/>
              </w:rPr>
            </w:pPr>
            <w:r w:rsidRPr="002217B4">
              <w:rPr>
                <w:rFonts w:eastAsia="Times New Roman"/>
                <w:b/>
                <w:bCs/>
                <w:i/>
                <w:iCs/>
              </w:rPr>
              <w:t>Mail that is returned with no forwarding address:</w:t>
            </w:r>
            <w:r w:rsidRPr="00625E0F">
              <w:rPr>
                <w:rFonts w:eastAsia="Times New Roman"/>
                <w:i/>
                <w:iCs/>
              </w:rPr>
              <w:t xml:space="preserve"> States </w:t>
            </w:r>
            <w:r w:rsidR="00335A96">
              <w:rPr>
                <w:rFonts w:eastAsia="Times New Roman"/>
                <w:i/>
                <w:iCs/>
              </w:rPr>
              <w:t>should</w:t>
            </w:r>
            <w:r w:rsidR="00E16249" w:rsidRPr="00E16249">
              <w:rPr>
                <w:rFonts w:eastAsia="Times New Roman"/>
                <w:i/>
                <w:iCs/>
              </w:rPr>
              <w:t xml:space="preserve"> attempt to locate </w:t>
            </w:r>
            <w:r w:rsidR="00335A96">
              <w:rPr>
                <w:rFonts w:eastAsia="Times New Roman"/>
                <w:i/>
                <w:iCs/>
              </w:rPr>
              <w:t>individual</w:t>
            </w:r>
            <w:r w:rsidR="00E16249" w:rsidRPr="00E16249">
              <w:rPr>
                <w:rFonts w:eastAsia="Times New Roman"/>
                <w:i/>
                <w:iCs/>
              </w:rPr>
              <w:t>s whose mail is returned to the state agency without a forwarding address consistent with the steps described above prior to discontinuing coverage based on a determination that a</w:t>
            </w:r>
            <w:r w:rsidR="007F1EA9">
              <w:rPr>
                <w:rFonts w:eastAsia="Times New Roman"/>
                <w:i/>
                <w:iCs/>
              </w:rPr>
              <w:t>n individual</w:t>
            </w:r>
            <w:r w:rsidR="00E16249" w:rsidRPr="00E16249">
              <w:rPr>
                <w:rFonts w:eastAsia="Times New Roman"/>
                <w:i/>
                <w:iCs/>
              </w:rPr>
              <w:t>’s whereabouts are unknown.  If a</w:t>
            </w:r>
            <w:r w:rsidR="007F1EA9">
              <w:rPr>
                <w:rFonts w:eastAsia="Times New Roman"/>
                <w:i/>
                <w:iCs/>
              </w:rPr>
              <w:t>n</w:t>
            </w:r>
            <w:r w:rsidR="00E16249" w:rsidRPr="00E16249">
              <w:rPr>
                <w:rFonts w:eastAsia="Times New Roman"/>
                <w:i/>
                <w:iCs/>
              </w:rPr>
              <w:t xml:space="preserve"> </w:t>
            </w:r>
            <w:r w:rsidR="007F1EA9">
              <w:rPr>
                <w:rFonts w:eastAsia="Times New Roman"/>
                <w:i/>
                <w:iCs/>
              </w:rPr>
              <w:t>individual</w:t>
            </w:r>
            <w:r w:rsidR="00E16249" w:rsidRPr="00E16249">
              <w:rPr>
                <w:rFonts w:eastAsia="Times New Roman"/>
                <w:i/>
                <w:iCs/>
              </w:rPr>
              <w:t xml:space="preserve"> cannot be located, and there is no forwarding address, the state may terminate eligibility in accordance with regulations at 42 C.F.R. part 431, subpart E. If a</w:t>
            </w:r>
            <w:r w:rsidR="007F1EA9">
              <w:rPr>
                <w:rFonts w:eastAsia="Times New Roman"/>
                <w:i/>
                <w:iCs/>
              </w:rPr>
              <w:t>n individual</w:t>
            </w:r>
            <w:r w:rsidR="00E16249" w:rsidRPr="00E16249">
              <w:rPr>
                <w:rFonts w:eastAsia="Times New Roman"/>
                <w:i/>
                <w:iCs/>
              </w:rPr>
              <w:t xml:space="preserve">’s whereabouts become known prior to the </w:t>
            </w:r>
            <w:r w:rsidR="007F1EA9">
              <w:rPr>
                <w:rFonts w:eastAsia="Times New Roman"/>
                <w:i/>
                <w:iCs/>
              </w:rPr>
              <w:t>individual</w:t>
            </w:r>
            <w:r w:rsidR="00E16249" w:rsidRPr="00E16249">
              <w:rPr>
                <w:rFonts w:eastAsia="Times New Roman"/>
                <w:i/>
                <w:iCs/>
              </w:rPr>
              <w:t>’s originally-</w:t>
            </w:r>
            <w:r w:rsidR="00E16249" w:rsidRPr="00E16249">
              <w:rPr>
                <w:rFonts w:eastAsia="Times New Roman"/>
                <w:i/>
                <w:iCs/>
              </w:rPr>
              <w:lastRenderedPageBreak/>
              <w:t>scheduled renewal date, the state must reinstate coverage in accordance with regulations at § 431.231(d).</w:t>
            </w:r>
          </w:p>
          <w:p w14:paraId="779B720C" w14:textId="77777777" w:rsidR="00E965B1" w:rsidRPr="00931074" w:rsidRDefault="00E965B1" w:rsidP="00DA2575">
            <w:pPr>
              <w:pStyle w:val="BodyText"/>
              <w:numPr>
                <w:ilvl w:val="0"/>
                <w:numId w:val="25"/>
              </w:numPr>
              <w:spacing w:before="7"/>
              <w:rPr>
                <w:b/>
                <w:bCs/>
              </w:rPr>
            </w:pPr>
            <w:r w:rsidRPr="006E7935">
              <w:rPr>
                <w:rFonts w:eastAsia="Times New Roman"/>
                <w:i/>
                <w:iCs/>
              </w:rPr>
              <w:t>Create specialized and dedicated unit</w:t>
            </w:r>
            <w:r w:rsidR="00E37891">
              <w:rPr>
                <w:rFonts w:eastAsia="Times New Roman"/>
                <w:i/>
                <w:iCs/>
              </w:rPr>
              <w:t>s</w:t>
            </w:r>
            <w:r w:rsidRPr="006E7935">
              <w:rPr>
                <w:rFonts w:eastAsia="Times New Roman"/>
                <w:i/>
                <w:iCs/>
              </w:rPr>
              <w:t xml:space="preserve"> (either centralized or within each region/county) for processing returned mai</w:t>
            </w:r>
            <w:r>
              <w:rPr>
                <w:rFonts w:eastAsia="Times New Roman"/>
                <w:i/>
                <w:iCs/>
              </w:rPr>
              <w:t>l</w:t>
            </w:r>
          </w:p>
        </w:tc>
        <w:tc>
          <w:tcPr>
            <w:tcW w:w="9810" w:type="dxa"/>
            <w:vMerge w:val="restart"/>
          </w:tcPr>
          <w:p w14:paraId="21731D9D" w14:textId="77777777" w:rsidR="00E965B1" w:rsidRPr="00BE43F1" w:rsidRDefault="00E965B1" w:rsidP="00DA2575">
            <w:pPr>
              <w:pStyle w:val="BodyText"/>
              <w:numPr>
                <w:ilvl w:val="0"/>
                <w:numId w:val="19"/>
              </w:numPr>
              <w:spacing w:before="7"/>
              <w:rPr>
                <w:i/>
                <w:iCs/>
                <w:color w:val="4172AD"/>
              </w:rPr>
            </w:pPr>
            <w:r w:rsidRPr="00BE43F1">
              <w:rPr>
                <w:i/>
                <w:iCs/>
                <w:color w:val="4172AD"/>
              </w:rPr>
              <w:lastRenderedPageBreak/>
              <w:t>How significant is this risk</w:t>
            </w:r>
            <w:r w:rsidR="0040364C" w:rsidRPr="00BE43F1">
              <w:rPr>
                <w:i/>
                <w:iCs/>
                <w:color w:val="4172AD"/>
              </w:rPr>
              <w:t xml:space="preserve"> in your state</w:t>
            </w:r>
            <w:r w:rsidRPr="00BE43F1">
              <w:rPr>
                <w:i/>
                <w:iCs/>
                <w:color w:val="4172AD"/>
              </w:rPr>
              <w:t xml:space="preserve">? </w:t>
            </w:r>
          </w:p>
          <w:p w14:paraId="5843CF33" w14:textId="77777777" w:rsidR="00E965B1" w:rsidRPr="00BE43F1" w:rsidRDefault="00E965B1" w:rsidP="00DA2575">
            <w:pPr>
              <w:pStyle w:val="BodyText"/>
              <w:numPr>
                <w:ilvl w:val="0"/>
                <w:numId w:val="19"/>
              </w:numPr>
              <w:spacing w:before="7"/>
              <w:rPr>
                <w:i/>
                <w:iCs/>
                <w:color w:val="4172AD"/>
              </w:rPr>
            </w:pPr>
            <w:r w:rsidRPr="00BE43F1">
              <w:rPr>
                <w:i/>
                <w:iCs/>
                <w:color w:val="4172AD"/>
              </w:rPr>
              <w:t xml:space="preserve">Which of these strategies will the state implement to mitigate risk? </w:t>
            </w:r>
            <w:r w:rsidR="0040364C" w:rsidRPr="00BE43F1">
              <w:rPr>
                <w:i/>
                <w:iCs/>
                <w:color w:val="4172AD"/>
              </w:rPr>
              <w:t>Are there other strategies the state will adopt?</w:t>
            </w:r>
          </w:p>
          <w:p w14:paraId="3C70B616" w14:textId="69703AE7" w:rsidR="00E965B1" w:rsidRPr="00F40A19" w:rsidRDefault="00E965B1" w:rsidP="00DA2575">
            <w:pPr>
              <w:pStyle w:val="BodyText"/>
              <w:numPr>
                <w:ilvl w:val="0"/>
                <w:numId w:val="19"/>
              </w:numPr>
              <w:spacing w:before="7"/>
              <w:rPr>
                <w:i/>
                <w:iCs/>
              </w:rPr>
            </w:pPr>
            <w:r w:rsidRPr="00BE43F1">
              <w:rPr>
                <w:i/>
                <w:iCs/>
                <w:color w:val="4172AD"/>
              </w:rPr>
              <w:t>What steps will the state need to take to operationalize th</w:t>
            </w:r>
            <w:r w:rsidR="00E37891" w:rsidRPr="00BE43F1">
              <w:rPr>
                <w:i/>
                <w:iCs/>
                <w:color w:val="4172AD"/>
              </w:rPr>
              <w:t>ese</w:t>
            </w:r>
            <w:r w:rsidRPr="00BE43F1">
              <w:rPr>
                <w:i/>
                <w:iCs/>
                <w:color w:val="4172AD"/>
              </w:rPr>
              <w:t xml:space="preserve"> strategies and when?</w:t>
            </w:r>
          </w:p>
        </w:tc>
      </w:tr>
      <w:tr w:rsidR="00E965B1" w:rsidRPr="00BD77C8" w14:paraId="1C06EEB0" w14:textId="77777777" w:rsidTr="6493D36F">
        <w:tc>
          <w:tcPr>
            <w:tcW w:w="6930" w:type="dxa"/>
          </w:tcPr>
          <w:p w14:paraId="4BB844CA" w14:textId="092F92FA" w:rsidR="00E965B1" w:rsidRPr="00F61FA9" w:rsidRDefault="00E965B1" w:rsidP="00DA2575">
            <w:pPr>
              <w:pStyle w:val="BodyText"/>
              <w:numPr>
                <w:ilvl w:val="0"/>
                <w:numId w:val="14"/>
              </w:numPr>
              <w:spacing w:before="7"/>
              <w:rPr>
                <w:rFonts w:eastAsia="Times New Roman"/>
              </w:rPr>
            </w:pPr>
            <w:r>
              <w:rPr>
                <w:b/>
                <w:bCs/>
              </w:rPr>
              <w:lastRenderedPageBreak/>
              <w:t>Other:</w:t>
            </w:r>
            <w:r w:rsidR="00E73D99">
              <w:rPr>
                <w:b/>
                <w:bCs/>
              </w:rPr>
              <w:t xml:space="preserve"> </w:t>
            </w:r>
          </w:p>
        </w:tc>
        <w:tc>
          <w:tcPr>
            <w:tcW w:w="9810" w:type="dxa"/>
            <w:vMerge/>
          </w:tcPr>
          <w:p w14:paraId="7733DF35" w14:textId="77777777" w:rsidR="00E965B1" w:rsidRPr="00BD77C8" w:rsidRDefault="00E965B1" w:rsidP="00E04D78">
            <w:pPr>
              <w:pStyle w:val="BodyText"/>
              <w:spacing w:before="7"/>
              <w:ind w:firstLine="60"/>
            </w:pPr>
          </w:p>
        </w:tc>
      </w:tr>
    </w:tbl>
    <w:p w14:paraId="50FFA848" w14:textId="77777777" w:rsidR="001B51C5" w:rsidRPr="001B51C5" w:rsidRDefault="001B51C5" w:rsidP="001B51C5">
      <w:pPr>
        <w:ind w:left="1080"/>
        <w:contextualSpacing/>
        <w:rPr>
          <w:rFonts w:asciiTheme="minorHAnsi" w:hAnsiTheme="minorHAnsi" w:cstheme="minorHAnsi"/>
          <w:b/>
          <w:bCs/>
        </w:rPr>
      </w:pPr>
    </w:p>
    <w:p w14:paraId="7AE7C3E5" w14:textId="77777777" w:rsidR="001B51C5" w:rsidRPr="00F40A19" w:rsidRDefault="00E84FCE" w:rsidP="00DA2575">
      <w:pPr>
        <w:pStyle w:val="ListParagraph"/>
        <w:numPr>
          <w:ilvl w:val="0"/>
          <w:numId w:val="13"/>
        </w:numPr>
        <w:rPr>
          <w:rFonts w:asciiTheme="minorHAnsi" w:hAnsiTheme="minorHAnsi" w:cstheme="minorHAnsi"/>
          <w:b/>
          <w:bCs/>
        </w:rPr>
      </w:pPr>
      <w:r w:rsidRPr="00F40A19">
        <w:rPr>
          <w:rFonts w:asciiTheme="minorHAnsi" w:hAnsiTheme="minorHAnsi" w:cstheme="minorHAnsi"/>
          <w:b/>
          <w:bCs/>
        </w:rPr>
        <w:t>Key risk: Consumer confusion about the steps and critical deadlines to retain coverage</w:t>
      </w:r>
    </w:p>
    <w:p w14:paraId="28531E0E" w14:textId="77777777" w:rsidR="00E84FCE" w:rsidRDefault="00E84FCE" w:rsidP="00E84FCE">
      <w:pPr>
        <w:contextualSpacing/>
        <w:rPr>
          <w:rFonts w:asciiTheme="minorHAnsi" w:hAnsiTheme="minorHAnsi" w:cstheme="minorHAnsi"/>
          <w:b/>
          <w:bCs/>
        </w:rPr>
      </w:pPr>
    </w:p>
    <w:tbl>
      <w:tblPr>
        <w:tblStyle w:val="TableGrid"/>
        <w:tblW w:w="16740" w:type="dxa"/>
        <w:tblInd w:w="715" w:type="dxa"/>
        <w:tblLook w:val="04A0" w:firstRow="1" w:lastRow="0" w:firstColumn="1" w:lastColumn="0" w:noHBand="0" w:noVBand="1"/>
      </w:tblPr>
      <w:tblGrid>
        <w:gridCol w:w="6930"/>
        <w:gridCol w:w="9810"/>
      </w:tblGrid>
      <w:tr w:rsidR="00B41043" w:rsidRPr="00B41043" w14:paraId="45BE1B7B" w14:textId="77777777" w:rsidTr="6493D36F">
        <w:trPr>
          <w:trHeight w:val="413"/>
          <w:tblHeader/>
        </w:trPr>
        <w:tc>
          <w:tcPr>
            <w:tcW w:w="6930" w:type="dxa"/>
            <w:shd w:val="clear" w:color="auto" w:fill="4F81BD" w:themeFill="accent1"/>
          </w:tcPr>
          <w:p w14:paraId="17B4CE4A" w14:textId="77777777" w:rsidR="00E84FCE" w:rsidRPr="00B41043" w:rsidRDefault="00E84FCE" w:rsidP="00E04D78">
            <w:pPr>
              <w:rPr>
                <w:rFonts w:asciiTheme="minorHAnsi" w:hAnsiTheme="minorHAnsi" w:cstheme="minorHAnsi"/>
                <w:b/>
                <w:bCs/>
              </w:rPr>
            </w:pPr>
            <w:r w:rsidRPr="00B41043">
              <w:rPr>
                <w:rFonts w:asciiTheme="minorHAnsi" w:hAnsiTheme="minorHAnsi" w:cstheme="minorBidi"/>
                <w:b/>
                <w:bCs/>
              </w:rPr>
              <w:t>Potential Strategies to Mitigate Risk</w:t>
            </w:r>
          </w:p>
        </w:tc>
        <w:tc>
          <w:tcPr>
            <w:tcW w:w="9810" w:type="dxa"/>
            <w:shd w:val="clear" w:color="auto" w:fill="4F81BD" w:themeFill="accent1"/>
          </w:tcPr>
          <w:p w14:paraId="0E5AA023" w14:textId="77777777" w:rsidR="00E84FCE" w:rsidRPr="00B41043" w:rsidRDefault="00E84FCE" w:rsidP="00E04D78">
            <w:pPr>
              <w:rPr>
                <w:rFonts w:asciiTheme="minorHAnsi" w:hAnsiTheme="minorHAnsi" w:cstheme="minorHAnsi"/>
                <w:b/>
                <w:bCs/>
              </w:rPr>
            </w:pPr>
            <w:r w:rsidRPr="00B41043">
              <w:rPr>
                <w:rFonts w:asciiTheme="minorHAnsi" w:hAnsiTheme="minorHAnsi" w:cstheme="minorBidi"/>
                <w:b/>
                <w:bCs/>
              </w:rPr>
              <w:t xml:space="preserve">State Approach and Timeline </w:t>
            </w:r>
          </w:p>
        </w:tc>
      </w:tr>
      <w:tr w:rsidR="00E84FCE" w:rsidRPr="00BD77C8" w14:paraId="4B0C598D" w14:textId="77777777" w:rsidTr="0074275D">
        <w:tc>
          <w:tcPr>
            <w:tcW w:w="6930" w:type="dxa"/>
          </w:tcPr>
          <w:p w14:paraId="29312370" w14:textId="77777777" w:rsidR="00E84FCE" w:rsidRPr="00E84FCE" w:rsidRDefault="00E84FCE" w:rsidP="00DA2575">
            <w:pPr>
              <w:pStyle w:val="BodyText"/>
              <w:numPr>
                <w:ilvl w:val="0"/>
                <w:numId w:val="14"/>
              </w:numPr>
              <w:spacing w:before="7"/>
              <w:rPr>
                <w:rFonts w:eastAsia="Calibri"/>
              </w:rPr>
            </w:pPr>
            <w:r w:rsidRPr="00E84FCE">
              <w:rPr>
                <w:rFonts w:eastAsia="Calibri"/>
              </w:rPr>
              <w:t xml:space="preserve">Improve eligibility notices: </w:t>
            </w:r>
          </w:p>
          <w:p w14:paraId="5D294CCA" w14:textId="2F1E81E3" w:rsidR="00E84FCE" w:rsidRPr="00F40A19" w:rsidRDefault="00E84FCE" w:rsidP="00DA2575">
            <w:pPr>
              <w:pStyle w:val="BodyText"/>
              <w:numPr>
                <w:ilvl w:val="1"/>
                <w:numId w:val="14"/>
              </w:numPr>
              <w:spacing w:before="7" w:after="0"/>
              <w:rPr>
                <w:rFonts w:eastAsia="Calibri"/>
                <w:i/>
                <w:iCs/>
              </w:rPr>
            </w:pPr>
            <w:r w:rsidRPr="00F40A19">
              <w:rPr>
                <w:rFonts w:eastAsia="Calibri"/>
                <w:i/>
                <w:iCs/>
              </w:rPr>
              <w:t>Revi</w:t>
            </w:r>
            <w:r w:rsidR="00950177">
              <w:rPr>
                <w:rFonts w:eastAsia="Calibri"/>
                <w:i/>
                <w:iCs/>
              </w:rPr>
              <w:t>ew</w:t>
            </w:r>
            <w:r w:rsidRPr="00F40A19">
              <w:rPr>
                <w:rFonts w:eastAsia="Calibri"/>
                <w:i/>
                <w:iCs/>
              </w:rPr>
              <w:t xml:space="preserve"> consumer notice language to ensure that information is communicated </w:t>
            </w:r>
            <w:r w:rsidR="00D6497A" w:rsidRPr="00D6497A">
              <w:rPr>
                <w:rFonts w:eastAsia="Calibri"/>
                <w:i/>
                <w:iCs/>
              </w:rPr>
              <w:t>in plain language, including that it clearly explains the appeals process (also known as the Medicaid fair hearing and CHIP review process, as applicable)</w:t>
            </w:r>
            <w:r w:rsidR="00D06F1B">
              <w:rPr>
                <w:rFonts w:eastAsia="Calibri"/>
                <w:i/>
                <w:iCs/>
              </w:rPr>
              <w:t>, and steps to take if consumer ultimately must transition from Medicaid/CHIP to Marketplace coverage</w:t>
            </w:r>
          </w:p>
          <w:p w14:paraId="1473B7B4" w14:textId="4B4A7ABA" w:rsidR="00AF0821" w:rsidRPr="00F40A19" w:rsidRDefault="0086773F" w:rsidP="00DA2575">
            <w:pPr>
              <w:pStyle w:val="BodyText"/>
              <w:numPr>
                <w:ilvl w:val="1"/>
                <w:numId w:val="14"/>
              </w:numPr>
              <w:spacing w:before="7" w:after="0"/>
              <w:rPr>
                <w:rFonts w:eastAsia="Calibri"/>
                <w:i/>
                <w:iCs/>
              </w:rPr>
            </w:pPr>
            <w:r>
              <w:rPr>
                <w:rFonts w:eastAsia="Calibri"/>
                <w:i/>
                <w:iCs/>
              </w:rPr>
              <w:t>Ensure</w:t>
            </w:r>
            <w:r w:rsidR="00AF0821">
              <w:rPr>
                <w:rFonts w:eastAsia="Calibri"/>
                <w:i/>
                <w:iCs/>
              </w:rPr>
              <w:t xml:space="preserve"> the</w:t>
            </w:r>
            <w:r>
              <w:rPr>
                <w:rFonts w:eastAsia="Calibri"/>
                <w:i/>
                <w:iCs/>
              </w:rPr>
              <w:t xml:space="preserve"> notice highlights the</w:t>
            </w:r>
            <w:r w:rsidR="00AF0821">
              <w:rPr>
                <w:rFonts w:eastAsia="Calibri"/>
                <w:i/>
                <w:iCs/>
              </w:rPr>
              <w:t xml:space="preserve"> </w:t>
            </w:r>
            <w:r w:rsidR="00233FCF">
              <w:rPr>
                <w:rFonts w:eastAsia="Calibri"/>
                <w:i/>
                <w:iCs/>
              </w:rPr>
              <w:t>resources to contact if individuals have questions about the notice</w:t>
            </w:r>
            <w:r w:rsidR="0070760E">
              <w:rPr>
                <w:rFonts w:eastAsia="Calibri"/>
                <w:i/>
                <w:iCs/>
              </w:rPr>
              <w:t xml:space="preserve"> (e.g., bold contact information or put the information in a box to draw attention)</w:t>
            </w:r>
          </w:p>
          <w:p w14:paraId="365B3175" w14:textId="4745504E" w:rsidR="00E84FCE" w:rsidRPr="00F40A19" w:rsidRDefault="00E84FCE" w:rsidP="00DA2575">
            <w:pPr>
              <w:pStyle w:val="BodyText"/>
              <w:numPr>
                <w:ilvl w:val="1"/>
                <w:numId w:val="14"/>
              </w:numPr>
              <w:spacing w:before="7" w:after="0"/>
              <w:rPr>
                <w:rFonts w:eastAsia="Calibri"/>
                <w:i/>
                <w:iCs/>
              </w:rPr>
            </w:pPr>
            <w:r w:rsidRPr="00F40A19">
              <w:rPr>
                <w:rFonts w:eastAsia="Calibri"/>
                <w:i/>
                <w:iCs/>
              </w:rPr>
              <w:t>Re</w:t>
            </w:r>
            <w:r w:rsidR="00D6497A">
              <w:rPr>
                <w:rFonts w:eastAsia="Calibri"/>
                <w:i/>
                <w:iCs/>
              </w:rPr>
              <w:t>-</w:t>
            </w:r>
            <w:r w:rsidRPr="00F40A19">
              <w:rPr>
                <w:rFonts w:eastAsia="Calibri"/>
                <w:i/>
                <w:iCs/>
              </w:rPr>
              <w:t>label envelopes to clearly indicate that the information enclosed is important and time-sensitive (e.g., in bold</w:t>
            </w:r>
            <w:r w:rsidR="00A97712">
              <w:rPr>
                <w:rFonts w:eastAsia="Calibri"/>
                <w:i/>
                <w:iCs/>
              </w:rPr>
              <w:t>, add</w:t>
            </w:r>
            <w:r w:rsidRPr="00F40A19">
              <w:rPr>
                <w:rFonts w:eastAsia="Calibri"/>
                <w:i/>
                <w:iCs/>
              </w:rPr>
              <w:t xml:space="preserve"> “time-sensitive urgent action needed”)</w:t>
            </w:r>
          </w:p>
          <w:p w14:paraId="638530C4" w14:textId="77777777" w:rsidR="00E84FCE" w:rsidRPr="00F40A19" w:rsidRDefault="00E84FCE" w:rsidP="00DA2575">
            <w:pPr>
              <w:pStyle w:val="BodyText"/>
              <w:numPr>
                <w:ilvl w:val="1"/>
                <w:numId w:val="14"/>
              </w:numPr>
              <w:spacing w:before="7" w:after="0"/>
              <w:rPr>
                <w:rFonts w:eastAsia="Calibri"/>
                <w:i/>
                <w:iCs/>
              </w:rPr>
            </w:pPr>
            <w:r w:rsidRPr="00F40A19">
              <w:rPr>
                <w:rFonts w:eastAsia="Calibri"/>
                <w:i/>
                <w:iCs/>
              </w:rPr>
              <w:t>Change the format of mailed notices and envelopes (e.g., use a different attention-getting color, such as yellow)</w:t>
            </w:r>
          </w:p>
        </w:tc>
        <w:tc>
          <w:tcPr>
            <w:tcW w:w="9810" w:type="dxa"/>
            <w:vMerge w:val="restart"/>
          </w:tcPr>
          <w:p w14:paraId="07ACB230" w14:textId="77777777" w:rsidR="00E84FCE" w:rsidRPr="00BE43F1" w:rsidRDefault="00E84FCE" w:rsidP="00DA2575">
            <w:pPr>
              <w:pStyle w:val="BodyText"/>
              <w:numPr>
                <w:ilvl w:val="0"/>
                <w:numId w:val="19"/>
              </w:numPr>
              <w:spacing w:before="7"/>
              <w:rPr>
                <w:i/>
                <w:iCs/>
                <w:color w:val="4172AD"/>
              </w:rPr>
            </w:pPr>
            <w:r w:rsidRPr="00BE43F1">
              <w:rPr>
                <w:i/>
                <w:iCs/>
                <w:color w:val="4172AD"/>
              </w:rPr>
              <w:t>How significant is this risk</w:t>
            </w:r>
            <w:r w:rsidR="0040364C" w:rsidRPr="00BE43F1">
              <w:rPr>
                <w:i/>
                <w:iCs/>
                <w:color w:val="4172AD"/>
              </w:rPr>
              <w:t xml:space="preserve"> in your state</w:t>
            </w:r>
            <w:r w:rsidRPr="00BE43F1">
              <w:rPr>
                <w:i/>
                <w:iCs/>
                <w:color w:val="4172AD"/>
              </w:rPr>
              <w:t xml:space="preserve">? </w:t>
            </w:r>
          </w:p>
          <w:p w14:paraId="073C8CE5" w14:textId="77777777" w:rsidR="00E84FCE" w:rsidRPr="00BE43F1" w:rsidRDefault="00E84FCE" w:rsidP="00DA2575">
            <w:pPr>
              <w:pStyle w:val="BodyText"/>
              <w:numPr>
                <w:ilvl w:val="0"/>
                <w:numId w:val="19"/>
              </w:numPr>
              <w:spacing w:before="7"/>
              <w:rPr>
                <w:i/>
                <w:iCs/>
                <w:color w:val="4172AD"/>
              </w:rPr>
            </w:pPr>
            <w:r w:rsidRPr="00BE43F1">
              <w:rPr>
                <w:i/>
                <w:iCs/>
                <w:color w:val="4172AD"/>
              </w:rPr>
              <w:t xml:space="preserve">Which of these strategies will the state implement to mitigate risk? </w:t>
            </w:r>
            <w:r w:rsidR="0040364C" w:rsidRPr="00BE43F1">
              <w:rPr>
                <w:i/>
                <w:iCs/>
                <w:color w:val="4172AD"/>
              </w:rPr>
              <w:t>Are there other strategies the state will adopt?</w:t>
            </w:r>
          </w:p>
          <w:p w14:paraId="38F5DC2C" w14:textId="70732F3F" w:rsidR="00E84FCE" w:rsidRPr="00795BFC" w:rsidRDefault="00E84FCE" w:rsidP="00DA2575">
            <w:pPr>
              <w:pStyle w:val="BodyText"/>
              <w:numPr>
                <w:ilvl w:val="0"/>
                <w:numId w:val="19"/>
              </w:numPr>
              <w:spacing w:before="7"/>
              <w:rPr>
                <w:i/>
                <w:iCs/>
              </w:rPr>
            </w:pPr>
            <w:r w:rsidRPr="00BE43F1">
              <w:rPr>
                <w:i/>
                <w:iCs/>
                <w:color w:val="4172AD"/>
              </w:rPr>
              <w:t>What steps will the state need to take to operationalize th</w:t>
            </w:r>
            <w:r w:rsidR="00E37891" w:rsidRPr="00BE43F1">
              <w:rPr>
                <w:i/>
                <w:iCs/>
                <w:color w:val="4172AD"/>
              </w:rPr>
              <w:t>ese</w:t>
            </w:r>
            <w:r w:rsidRPr="00BE43F1">
              <w:rPr>
                <w:i/>
                <w:iCs/>
                <w:color w:val="4172AD"/>
              </w:rPr>
              <w:t xml:space="preserve"> strategies and when?</w:t>
            </w:r>
          </w:p>
        </w:tc>
      </w:tr>
      <w:tr w:rsidR="00E84FCE" w:rsidRPr="00BD77C8" w14:paraId="6891064D" w14:textId="77777777" w:rsidTr="6493D36F">
        <w:tc>
          <w:tcPr>
            <w:tcW w:w="6930" w:type="dxa"/>
          </w:tcPr>
          <w:p w14:paraId="33D460B2" w14:textId="77777777" w:rsidR="00E84FCE" w:rsidRDefault="00E84FCE" w:rsidP="00DA2575">
            <w:pPr>
              <w:pStyle w:val="BodyText"/>
              <w:numPr>
                <w:ilvl w:val="0"/>
                <w:numId w:val="14"/>
              </w:numPr>
              <w:spacing w:before="7"/>
              <w:rPr>
                <w:rFonts w:eastAsia="Calibri"/>
              </w:rPr>
            </w:pPr>
            <w:r w:rsidRPr="00E84FCE">
              <w:rPr>
                <w:rFonts w:eastAsia="Calibri"/>
              </w:rPr>
              <w:t>Conduct intensive outreach:</w:t>
            </w:r>
          </w:p>
          <w:p w14:paraId="758E6AC5" w14:textId="641A4BB1" w:rsidR="00E84FCE" w:rsidRPr="00F40A19" w:rsidRDefault="00E84FCE" w:rsidP="00DA2575">
            <w:pPr>
              <w:pStyle w:val="ListParagraph"/>
              <w:numPr>
                <w:ilvl w:val="1"/>
                <w:numId w:val="14"/>
              </w:numPr>
              <w:spacing w:line="259" w:lineRule="auto"/>
              <w:rPr>
                <w:rFonts w:eastAsia="Times New Roman"/>
                <w:i/>
                <w:iCs/>
              </w:rPr>
            </w:pPr>
            <w:r w:rsidRPr="00F40A19">
              <w:rPr>
                <w:rFonts w:eastAsia="Times New Roman"/>
                <w:i/>
                <w:iCs/>
              </w:rPr>
              <w:t xml:space="preserve">Conduct more intensive outreach via multiple modalities to remind </w:t>
            </w:r>
            <w:r w:rsidR="004737DF" w:rsidRPr="004737DF">
              <w:rPr>
                <w:rFonts w:eastAsia="Times New Roman"/>
                <w:i/>
                <w:iCs/>
              </w:rPr>
              <w:t>individuals enrolled in Medicaid, CHIP, or BHP</w:t>
            </w:r>
            <w:r w:rsidRPr="00F40A19">
              <w:rPr>
                <w:rFonts w:eastAsia="Times New Roman"/>
                <w:i/>
                <w:iCs/>
              </w:rPr>
              <w:t xml:space="preserve"> of </w:t>
            </w:r>
            <w:r w:rsidRPr="00F40A19">
              <w:rPr>
                <w:rFonts w:eastAsia="Times New Roman"/>
                <w:i/>
                <w:iCs/>
              </w:rPr>
              <w:lastRenderedPageBreak/>
              <w:t xml:space="preserve">anticipated changes to their coverage and obtain needed information (e.g., require eligibility workers to make follow-up telephone calls and to send an email if an enrollee has not responded to a request for information) </w:t>
            </w:r>
          </w:p>
          <w:p w14:paraId="513CD900" w14:textId="77777777" w:rsidR="00E84FCE" w:rsidRPr="00F40A19" w:rsidRDefault="00E84FCE" w:rsidP="00DA2575">
            <w:pPr>
              <w:pStyle w:val="ListParagraph"/>
              <w:numPr>
                <w:ilvl w:val="1"/>
                <w:numId w:val="14"/>
              </w:numPr>
              <w:spacing w:line="259" w:lineRule="auto"/>
              <w:rPr>
                <w:rFonts w:eastAsia="Times New Roman"/>
                <w:i/>
                <w:iCs/>
              </w:rPr>
            </w:pPr>
            <w:r w:rsidRPr="00F40A19">
              <w:rPr>
                <w:rFonts w:eastAsia="Times New Roman"/>
                <w:i/>
                <w:iCs/>
              </w:rPr>
              <w:t>Implement a text messaging program to quickly communicate eligibility reminders and requests for additional information, as permitted</w:t>
            </w:r>
          </w:p>
          <w:p w14:paraId="265DBFA0" w14:textId="481F9430" w:rsidR="00E84FCE" w:rsidRPr="00F40A19" w:rsidRDefault="00E84FCE" w:rsidP="00DA2575">
            <w:pPr>
              <w:pStyle w:val="ListParagraph"/>
              <w:numPr>
                <w:ilvl w:val="1"/>
                <w:numId w:val="14"/>
              </w:numPr>
              <w:spacing w:line="259" w:lineRule="auto"/>
              <w:rPr>
                <w:rFonts w:eastAsia="Times New Roman"/>
                <w:i/>
                <w:iCs/>
              </w:rPr>
            </w:pPr>
            <w:r w:rsidRPr="00F40A19">
              <w:rPr>
                <w:rFonts w:eastAsia="Times New Roman"/>
                <w:i/>
                <w:iCs/>
              </w:rPr>
              <w:t xml:space="preserve">Incentivize stakeholder partners to conduct outreach and provide education to </w:t>
            </w:r>
            <w:r w:rsidR="000A49FC" w:rsidRPr="000A49FC">
              <w:rPr>
                <w:rFonts w:eastAsia="Times New Roman"/>
                <w:i/>
                <w:iCs/>
              </w:rPr>
              <w:t>individuals enrolled in Medicaid, CHIP, or BHP</w:t>
            </w:r>
            <w:r w:rsidRPr="00F40A19">
              <w:rPr>
                <w:rFonts w:eastAsia="Times New Roman"/>
                <w:i/>
                <w:iCs/>
              </w:rPr>
              <w:t xml:space="preserve"> about the </w:t>
            </w:r>
            <w:r w:rsidR="001C613F" w:rsidRPr="001C613F">
              <w:rPr>
                <w:rFonts w:eastAsia="Times New Roman"/>
                <w:i/>
                <w:iCs/>
              </w:rPr>
              <w:t>return to normal state operations,</w:t>
            </w:r>
            <w:r w:rsidRPr="00F40A19">
              <w:rPr>
                <w:rFonts w:eastAsia="Times New Roman"/>
                <w:i/>
                <w:iCs/>
              </w:rPr>
              <w:t xml:space="preserve"> expectations for sending in requested information, and the importance of updating contact information. Stakeholders include:</w:t>
            </w:r>
          </w:p>
          <w:p w14:paraId="758D22CE" w14:textId="77777777" w:rsidR="00E84FCE" w:rsidRPr="00F40A19" w:rsidRDefault="00E84FCE" w:rsidP="00DA2575">
            <w:pPr>
              <w:pStyle w:val="ListParagraph"/>
              <w:numPr>
                <w:ilvl w:val="2"/>
                <w:numId w:val="14"/>
              </w:numPr>
              <w:spacing w:line="259" w:lineRule="auto"/>
              <w:rPr>
                <w:rFonts w:eastAsia="Times New Roman"/>
                <w:i/>
                <w:iCs/>
              </w:rPr>
            </w:pPr>
            <w:r w:rsidRPr="00F40A19">
              <w:rPr>
                <w:rFonts w:eastAsia="Times New Roman"/>
                <w:i/>
                <w:iCs/>
              </w:rPr>
              <w:t xml:space="preserve">Managed care plans </w:t>
            </w:r>
          </w:p>
          <w:p w14:paraId="427D3631" w14:textId="77777777" w:rsidR="00E84FCE" w:rsidRPr="00F40A19" w:rsidRDefault="00E84FCE" w:rsidP="00DA2575">
            <w:pPr>
              <w:pStyle w:val="ListParagraph"/>
              <w:numPr>
                <w:ilvl w:val="2"/>
                <w:numId w:val="14"/>
              </w:numPr>
              <w:spacing w:line="259" w:lineRule="auto"/>
              <w:rPr>
                <w:rFonts w:eastAsia="Times New Roman"/>
                <w:i/>
                <w:iCs/>
              </w:rPr>
            </w:pPr>
            <w:r w:rsidRPr="00F40A19">
              <w:rPr>
                <w:rFonts w:eastAsia="Times New Roman"/>
                <w:i/>
                <w:iCs/>
              </w:rPr>
              <w:t>Community-based organizations</w:t>
            </w:r>
          </w:p>
          <w:p w14:paraId="5894CB4B" w14:textId="77777777" w:rsidR="00E84FCE" w:rsidRDefault="00E84FCE" w:rsidP="00DA2575">
            <w:pPr>
              <w:pStyle w:val="ListParagraph"/>
              <w:numPr>
                <w:ilvl w:val="2"/>
                <w:numId w:val="14"/>
              </w:numPr>
              <w:spacing w:line="259" w:lineRule="auto"/>
              <w:rPr>
                <w:rFonts w:eastAsia="Times New Roman"/>
                <w:i/>
                <w:iCs/>
              </w:rPr>
            </w:pPr>
            <w:r w:rsidRPr="00F40A19">
              <w:rPr>
                <w:rFonts w:eastAsia="Times New Roman"/>
                <w:i/>
                <w:iCs/>
              </w:rPr>
              <w:t>Providers</w:t>
            </w:r>
          </w:p>
          <w:p w14:paraId="5F47DFC0" w14:textId="7136CAAD" w:rsidR="00E84FCE" w:rsidRPr="00F40A19" w:rsidRDefault="00A5691D" w:rsidP="00DA2575">
            <w:pPr>
              <w:pStyle w:val="ListParagraph"/>
              <w:numPr>
                <w:ilvl w:val="2"/>
                <w:numId w:val="14"/>
              </w:numPr>
              <w:spacing w:line="259" w:lineRule="auto"/>
              <w:rPr>
                <w:rFonts w:eastAsia="Times New Roman"/>
                <w:i/>
                <w:iCs/>
              </w:rPr>
            </w:pPr>
            <w:r>
              <w:rPr>
                <w:rFonts w:eastAsia="Times New Roman"/>
                <w:i/>
                <w:iCs/>
              </w:rPr>
              <w:t xml:space="preserve">Application assisters (including </w:t>
            </w:r>
            <w:r w:rsidR="00E84FCE" w:rsidRPr="00F40A19">
              <w:rPr>
                <w:rFonts w:eastAsia="Times New Roman"/>
                <w:i/>
                <w:iCs/>
              </w:rPr>
              <w:t>Navigators</w:t>
            </w:r>
            <w:r>
              <w:rPr>
                <w:rFonts w:eastAsia="Times New Roman"/>
                <w:i/>
                <w:iCs/>
              </w:rPr>
              <w:t xml:space="preserve"> </w:t>
            </w:r>
            <w:r w:rsidRPr="00A5691D">
              <w:rPr>
                <w:rFonts w:eastAsia="Times New Roman"/>
                <w:i/>
                <w:iCs/>
              </w:rPr>
              <w:t>and certified application counselors)</w:t>
            </w:r>
          </w:p>
          <w:p w14:paraId="635FAAFB" w14:textId="77777777" w:rsidR="00E84FCE" w:rsidRDefault="00E84FCE" w:rsidP="00DA2575">
            <w:pPr>
              <w:pStyle w:val="ListParagraph"/>
              <w:numPr>
                <w:ilvl w:val="2"/>
                <w:numId w:val="14"/>
              </w:numPr>
              <w:spacing w:line="259" w:lineRule="auto"/>
              <w:rPr>
                <w:rFonts w:eastAsia="Times New Roman"/>
                <w:i/>
                <w:iCs/>
              </w:rPr>
            </w:pPr>
            <w:r w:rsidRPr="00F40A19">
              <w:rPr>
                <w:rFonts w:eastAsia="Times New Roman"/>
                <w:i/>
                <w:iCs/>
              </w:rPr>
              <w:t>State Health Insurance Programs (SHIPs)</w:t>
            </w:r>
          </w:p>
          <w:p w14:paraId="682F3E0A" w14:textId="77777777" w:rsidR="00A5691D" w:rsidRPr="00F40A19" w:rsidRDefault="00A5691D" w:rsidP="00DA2575">
            <w:pPr>
              <w:pStyle w:val="ListParagraph"/>
              <w:numPr>
                <w:ilvl w:val="2"/>
                <w:numId w:val="14"/>
              </w:numPr>
              <w:spacing w:line="259" w:lineRule="auto"/>
              <w:rPr>
                <w:rFonts w:eastAsia="Times New Roman"/>
                <w:i/>
                <w:iCs/>
              </w:rPr>
            </w:pPr>
            <w:r>
              <w:rPr>
                <w:rFonts w:eastAsia="Times New Roman"/>
                <w:i/>
                <w:iCs/>
              </w:rPr>
              <w:t>Schools</w:t>
            </w:r>
          </w:p>
          <w:p w14:paraId="776C042F" w14:textId="77777777" w:rsidR="00E84FCE" w:rsidRPr="00F40A19" w:rsidRDefault="00E84FCE" w:rsidP="00DA2575">
            <w:pPr>
              <w:pStyle w:val="ListParagraph"/>
              <w:numPr>
                <w:ilvl w:val="2"/>
                <w:numId w:val="14"/>
              </w:numPr>
              <w:spacing w:line="259" w:lineRule="auto"/>
              <w:rPr>
                <w:rFonts w:eastAsia="Times New Roman"/>
                <w:i/>
                <w:iCs/>
              </w:rPr>
            </w:pPr>
            <w:r w:rsidRPr="00F40A19">
              <w:rPr>
                <w:rFonts w:eastAsia="Times New Roman"/>
                <w:i/>
                <w:iCs/>
              </w:rPr>
              <w:t>Other</w:t>
            </w:r>
            <w:r w:rsidR="00A5691D">
              <w:rPr>
                <w:rFonts w:eastAsia="Times New Roman"/>
                <w:i/>
                <w:iCs/>
              </w:rPr>
              <w:t>s</w:t>
            </w:r>
            <w:r w:rsidRPr="00F40A19">
              <w:rPr>
                <w:rFonts w:eastAsia="Times New Roman"/>
                <w:i/>
                <w:iCs/>
              </w:rPr>
              <w:t xml:space="preserve"> </w:t>
            </w:r>
          </w:p>
        </w:tc>
        <w:tc>
          <w:tcPr>
            <w:tcW w:w="9810" w:type="dxa"/>
            <w:vMerge/>
          </w:tcPr>
          <w:p w14:paraId="05E97743" w14:textId="77777777" w:rsidR="00E84FCE" w:rsidRPr="00795BFC" w:rsidRDefault="00E84FCE" w:rsidP="00DA2575">
            <w:pPr>
              <w:pStyle w:val="BodyText"/>
              <w:numPr>
                <w:ilvl w:val="0"/>
                <w:numId w:val="19"/>
              </w:numPr>
              <w:spacing w:before="7"/>
              <w:rPr>
                <w:i/>
                <w:iCs/>
                <w:color w:val="4F81BD" w:themeColor="accent1"/>
              </w:rPr>
            </w:pPr>
          </w:p>
        </w:tc>
      </w:tr>
      <w:tr w:rsidR="00E84FCE" w:rsidRPr="00BD77C8" w14:paraId="0F7A50D1" w14:textId="77777777" w:rsidTr="6493D36F">
        <w:tc>
          <w:tcPr>
            <w:tcW w:w="6930" w:type="dxa"/>
          </w:tcPr>
          <w:p w14:paraId="1EABA452" w14:textId="77777777" w:rsidR="006A4AB8" w:rsidRDefault="006A4AB8" w:rsidP="00DA2575">
            <w:pPr>
              <w:pStyle w:val="ListParagraph"/>
              <w:numPr>
                <w:ilvl w:val="0"/>
                <w:numId w:val="20"/>
              </w:numPr>
              <w:rPr>
                <w:rFonts w:eastAsia="Times New Roman"/>
              </w:rPr>
            </w:pPr>
            <w:r w:rsidRPr="00F40A19">
              <w:rPr>
                <w:rFonts w:eastAsia="Times New Roman"/>
              </w:rPr>
              <w:t>Provide robust consumer assistance:</w:t>
            </w:r>
          </w:p>
          <w:p w14:paraId="39CBAA4B" w14:textId="77777777" w:rsidR="0024641E" w:rsidRPr="00F40A19" w:rsidRDefault="0024641E" w:rsidP="00714F6A">
            <w:pPr>
              <w:pStyle w:val="ListParagraph"/>
              <w:ind w:left="360"/>
              <w:rPr>
                <w:rFonts w:eastAsia="Times New Roman"/>
              </w:rPr>
            </w:pPr>
          </w:p>
          <w:p w14:paraId="5550C42E" w14:textId="77777777" w:rsidR="00E84FCE" w:rsidRPr="00F40A19" w:rsidRDefault="00E84FCE" w:rsidP="00DA2575">
            <w:pPr>
              <w:pStyle w:val="ListParagraph"/>
              <w:numPr>
                <w:ilvl w:val="1"/>
                <w:numId w:val="20"/>
              </w:numPr>
              <w:spacing w:line="259" w:lineRule="auto"/>
              <w:rPr>
                <w:rFonts w:eastAsia="Times New Roman"/>
                <w:i/>
                <w:iCs/>
              </w:rPr>
            </w:pPr>
            <w:r w:rsidRPr="00F40A19">
              <w:rPr>
                <w:rFonts w:eastAsia="Times New Roman"/>
                <w:i/>
                <w:iCs/>
              </w:rPr>
              <w:t>Develop and provide policy training, scripts, and informational materials to call center staff</w:t>
            </w:r>
            <w:r w:rsidR="00764343">
              <w:rPr>
                <w:rFonts w:eastAsia="Times New Roman"/>
                <w:i/>
                <w:iCs/>
              </w:rPr>
              <w:t xml:space="preserve"> </w:t>
            </w:r>
            <w:r w:rsidR="00630B54" w:rsidRPr="00630B54">
              <w:rPr>
                <w:rFonts w:eastAsia="Times New Roman"/>
                <w:i/>
                <w:iCs/>
              </w:rPr>
              <w:t>that emphasize the importance of providing clear information to help consumers maintain coverage</w:t>
            </w:r>
          </w:p>
          <w:p w14:paraId="1682F6C0" w14:textId="12E169FA" w:rsidR="0086773F" w:rsidRDefault="00E84FCE" w:rsidP="00DA2575">
            <w:pPr>
              <w:pStyle w:val="ListParagraph"/>
              <w:numPr>
                <w:ilvl w:val="1"/>
                <w:numId w:val="20"/>
              </w:numPr>
              <w:spacing w:line="259" w:lineRule="auto"/>
              <w:rPr>
                <w:rFonts w:eastAsia="Times New Roman"/>
                <w:i/>
                <w:iCs/>
              </w:rPr>
            </w:pPr>
            <w:r w:rsidRPr="00F40A19">
              <w:rPr>
                <w:rFonts w:eastAsia="Times New Roman"/>
                <w:i/>
                <w:iCs/>
              </w:rPr>
              <w:t xml:space="preserve">Engage Navigators, application assisters </w:t>
            </w:r>
            <w:r w:rsidR="00630B54" w:rsidRPr="00630B54">
              <w:rPr>
                <w:rFonts w:eastAsia="Times New Roman"/>
                <w:i/>
                <w:iCs/>
              </w:rPr>
              <w:t>(including Navigators and certified application counselors)</w:t>
            </w:r>
            <w:r w:rsidR="005C2F28">
              <w:rPr>
                <w:rFonts w:eastAsia="Times New Roman"/>
                <w:i/>
                <w:iCs/>
              </w:rPr>
              <w:t>,</w:t>
            </w:r>
            <w:r w:rsidR="00630B54" w:rsidRPr="00630B54">
              <w:rPr>
                <w:rFonts w:eastAsia="Times New Roman"/>
                <w:i/>
                <w:iCs/>
              </w:rPr>
              <w:t xml:space="preserve"> </w:t>
            </w:r>
            <w:r w:rsidR="00035D22">
              <w:rPr>
                <w:rFonts w:eastAsia="Times New Roman"/>
                <w:i/>
                <w:iCs/>
              </w:rPr>
              <w:t xml:space="preserve">health coverage ombuds offices, </w:t>
            </w:r>
            <w:r w:rsidRPr="00F40A19">
              <w:rPr>
                <w:rFonts w:eastAsia="Times New Roman"/>
                <w:i/>
                <w:iCs/>
              </w:rPr>
              <w:t>and other stakeholders to assist individuals who need help with renewal</w:t>
            </w:r>
            <w:r w:rsidR="00D32885">
              <w:rPr>
                <w:rFonts w:eastAsia="Times New Roman"/>
                <w:i/>
                <w:iCs/>
              </w:rPr>
              <w:t xml:space="preserve"> </w:t>
            </w:r>
          </w:p>
          <w:p w14:paraId="3940D5A7" w14:textId="5454A430" w:rsidR="00E84FCE" w:rsidRPr="00F40A19" w:rsidRDefault="0086773F" w:rsidP="00DA2575">
            <w:pPr>
              <w:pStyle w:val="ListParagraph"/>
              <w:numPr>
                <w:ilvl w:val="1"/>
                <w:numId w:val="20"/>
              </w:numPr>
              <w:spacing w:line="259" w:lineRule="auto"/>
              <w:rPr>
                <w:rFonts w:eastAsia="Times New Roman"/>
                <w:i/>
                <w:iCs/>
              </w:rPr>
            </w:pPr>
            <w:r>
              <w:rPr>
                <w:rFonts w:eastAsia="Times New Roman"/>
                <w:i/>
                <w:iCs/>
              </w:rPr>
              <w:lastRenderedPageBreak/>
              <w:t>E</w:t>
            </w:r>
            <w:r w:rsidR="003C63B2" w:rsidRPr="003C63B2">
              <w:rPr>
                <w:rFonts w:eastAsia="Times New Roman"/>
                <w:i/>
                <w:iCs/>
              </w:rPr>
              <w:t xml:space="preserve">xpand use of outstation locations for eligibility workers to provide individuals with renewal assistance </w:t>
            </w:r>
            <w:r>
              <w:rPr>
                <w:rFonts w:eastAsia="Times New Roman"/>
                <w:i/>
                <w:iCs/>
              </w:rPr>
              <w:t>to increase accessibility to the renewal process based on geography and hours of operation</w:t>
            </w:r>
          </w:p>
          <w:p w14:paraId="07514076" w14:textId="352F9A2F" w:rsidR="00E84FCE" w:rsidRPr="00F40A19" w:rsidRDefault="00E84FCE" w:rsidP="00DA2575">
            <w:pPr>
              <w:pStyle w:val="ListParagraph"/>
              <w:numPr>
                <w:ilvl w:val="1"/>
                <w:numId w:val="20"/>
              </w:numPr>
              <w:spacing w:line="259" w:lineRule="auto"/>
              <w:rPr>
                <w:rFonts w:eastAsia="Times New Roman"/>
                <w:i/>
                <w:iCs/>
              </w:rPr>
            </w:pPr>
            <w:r w:rsidRPr="00F40A19">
              <w:rPr>
                <w:rFonts w:eastAsia="Times New Roman"/>
                <w:i/>
                <w:iCs/>
              </w:rPr>
              <w:t xml:space="preserve">Update </w:t>
            </w:r>
            <w:r w:rsidR="003C63B2">
              <w:rPr>
                <w:rFonts w:eastAsia="Times New Roman"/>
                <w:i/>
                <w:iCs/>
              </w:rPr>
              <w:t>online account</w:t>
            </w:r>
            <w:r w:rsidRPr="00F40A19">
              <w:rPr>
                <w:rFonts w:eastAsia="Times New Roman"/>
                <w:i/>
                <w:iCs/>
              </w:rPr>
              <w:t xml:space="preserve"> portals to display the status of renewals and what information is outstanding</w:t>
            </w:r>
          </w:p>
          <w:p w14:paraId="5FBF1BC4" w14:textId="3D64B45A" w:rsidR="00AB5E05" w:rsidRPr="008432C7" w:rsidRDefault="0086773F" w:rsidP="00DA2575">
            <w:pPr>
              <w:pStyle w:val="ListParagraph"/>
              <w:numPr>
                <w:ilvl w:val="1"/>
                <w:numId w:val="20"/>
              </w:numPr>
              <w:spacing w:line="259" w:lineRule="auto"/>
              <w:rPr>
                <w:rFonts w:eastAsia="Times New Roman"/>
                <w:i/>
                <w:iCs/>
              </w:rPr>
            </w:pPr>
            <w:r>
              <w:rPr>
                <w:rFonts w:eastAsia="Times New Roman"/>
                <w:i/>
                <w:iCs/>
              </w:rPr>
              <w:t>Use technology to improve accessibility of the process of providing documentation (e.g., allowing individuals to upload documents via cell phone photos, use bar code technology on renewal notices requesting documents to ease the process of associating missing documents with an existing case)</w:t>
            </w:r>
          </w:p>
          <w:p w14:paraId="74222B79" w14:textId="2E4D2FCA" w:rsidR="0086773F" w:rsidRPr="003345FB" w:rsidRDefault="0086773F" w:rsidP="00DA2575">
            <w:pPr>
              <w:pStyle w:val="ListParagraph"/>
              <w:numPr>
                <w:ilvl w:val="1"/>
                <w:numId w:val="20"/>
              </w:numPr>
              <w:spacing w:line="259" w:lineRule="auto"/>
              <w:rPr>
                <w:rFonts w:eastAsia="Calibri"/>
              </w:rPr>
            </w:pPr>
            <w:r w:rsidRPr="003345FB">
              <w:rPr>
                <w:rFonts w:eastAsia="Times New Roman"/>
                <w:i/>
                <w:iCs/>
              </w:rPr>
              <w:t>Ensure call centers are appropriately staffed and implement mitigation strategies and call-back options to reduce wait times and call abandonment rates.</w:t>
            </w:r>
          </w:p>
        </w:tc>
        <w:tc>
          <w:tcPr>
            <w:tcW w:w="9810" w:type="dxa"/>
            <w:vMerge/>
          </w:tcPr>
          <w:p w14:paraId="5DEAB04D" w14:textId="77777777" w:rsidR="00E84FCE" w:rsidRPr="00795BFC" w:rsidRDefault="00E84FCE" w:rsidP="00DA2575">
            <w:pPr>
              <w:pStyle w:val="BodyText"/>
              <w:numPr>
                <w:ilvl w:val="0"/>
                <w:numId w:val="19"/>
              </w:numPr>
              <w:spacing w:before="7"/>
              <w:rPr>
                <w:i/>
                <w:iCs/>
                <w:color w:val="4F81BD" w:themeColor="accent1"/>
              </w:rPr>
            </w:pPr>
          </w:p>
        </w:tc>
      </w:tr>
      <w:tr w:rsidR="004B2889" w:rsidRPr="00BD77C8" w14:paraId="3B7CECB0" w14:textId="77777777" w:rsidTr="6493D36F">
        <w:tc>
          <w:tcPr>
            <w:tcW w:w="6930" w:type="dxa"/>
          </w:tcPr>
          <w:p w14:paraId="627B2968" w14:textId="77777777" w:rsidR="004B2889" w:rsidRDefault="00DD43C5" w:rsidP="00DA2575">
            <w:pPr>
              <w:pStyle w:val="ListParagraph"/>
              <w:numPr>
                <w:ilvl w:val="0"/>
                <w:numId w:val="20"/>
              </w:numPr>
              <w:rPr>
                <w:rFonts w:eastAsia="Times New Roman"/>
              </w:rPr>
            </w:pPr>
            <w:r w:rsidRPr="00037447">
              <w:rPr>
                <w:rFonts w:eastAsia="Times New Roman"/>
              </w:rPr>
              <w:t>Communicate effectively with individuals who have Limited English Proficiency (LEP) or are living with a disability:</w:t>
            </w:r>
          </w:p>
          <w:p w14:paraId="29F05F90" w14:textId="77777777" w:rsidR="00037447" w:rsidRDefault="00037447" w:rsidP="00037447">
            <w:pPr>
              <w:pStyle w:val="ListParagraph"/>
              <w:ind w:left="360"/>
              <w:rPr>
                <w:rFonts w:eastAsia="Times New Roman"/>
              </w:rPr>
            </w:pPr>
          </w:p>
          <w:p w14:paraId="058ED68E" w14:textId="77777777" w:rsidR="00DD43C5" w:rsidRPr="00F241DF" w:rsidRDefault="00DD43C5" w:rsidP="00DA2575">
            <w:pPr>
              <w:pStyle w:val="ListParagraph"/>
              <w:numPr>
                <w:ilvl w:val="1"/>
                <w:numId w:val="20"/>
              </w:numPr>
              <w:rPr>
                <w:rFonts w:eastAsia="Times New Roman"/>
                <w:i/>
                <w:iCs/>
              </w:rPr>
            </w:pPr>
            <w:r w:rsidRPr="00F241DF">
              <w:rPr>
                <w:rFonts w:eastAsia="Times New Roman"/>
                <w:i/>
                <w:iCs/>
              </w:rPr>
              <w:t>Review language access plan to provide written translation of key documents (e.g., notices, applications, and renewal forms) into multiple languages, oral interpretation, and information about how individuals with LEP can access language services free of charge, provided in a culturally competent manner</w:t>
            </w:r>
          </w:p>
          <w:p w14:paraId="53C9C4C0" w14:textId="77777777" w:rsidR="00DD43C5" w:rsidRPr="00F241DF" w:rsidRDefault="00037447" w:rsidP="00DA2575">
            <w:pPr>
              <w:pStyle w:val="ListParagraph"/>
              <w:numPr>
                <w:ilvl w:val="1"/>
                <w:numId w:val="20"/>
              </w:numPr>
              <w:rPr>
                <w:rFonts w:eastAsia="Times New Roman"/>
                <w:i/>
                <w:iCs/>
              </w:rPr>
            </w:pPr>
            <w:r w:rsidRPr="00F241DF">
              <w:rPr>
                <w:rFonts w:eastAsia="Times New Roman"/>
                <w:i/>
                <w:iCs/>
              </w:rPr>
              <w:t>Ensure key documents such as written notices, applications, and renewal forms are translated into multiple languages by qualified translators and reviewed for cultural competence</w:t>
            </w:r>
          </w:p>
          <w:p w14:paraId="7E8DD84E" w14:textId="77777777" w:rsidR="008C78D8" w:rsidRPr="002217B4" w:rsidRDefault="008C78D8" w:rsidP="00DA2575">
            <w:pPr>
              <w:pStyle w:val="ListParagraph"/>
              <w:numPr>
                <w:ilvl w:val="1"/>
                <w:numId w:val="20"/>
              </w:numPr>
              <w:rPr>
                <w:rFonts w:eastAsia="Times New Roman"/>
                <w:i/>
                <w:iCs/>
              </w:rPr>
            </w:pPr>
            <w:r w:rsidRPr="002217B4">
              <w:rPr>
                <w:rFonts w:eastAsia="Times New Roman"/>
                <w:i/>
                <w:iCs/>
              </w:rPr>
              <w:t>Increase number of non-English language translations of key written materials, after review of census and other local data sources</w:t>
            </w:r>
          </w:p>
          <w:p w14:paraId="22B03162" w14:textId="77777777" w:rsidR="00B95C9A" w:rsidRPr="002217B4" w:rsidRDefault="00B95C9A" w:rsidP="00DA2575">
            <w:pPr>
              <w:pStyle w:val="ListParagraph"/>
              <w:numPr>
                <w:ilvl w:val="1"/>
                <w:numId w:val="20"/>
              </w:numPr>
              <w:rPr>
                <w:rFonts w:eastAsia="Times New Roman"/>
                <w:i/>
                <w:iCs/>
              </w:rPr>
            </w:pPr>
            <w:r w:rsidRPr="002217B4">
              <w:rPr>
                <w:rFonts w:eastAsia="Times New Roman"/>
                <w:i/>
                <w:iCs/>
              </w:rPr>
              <w:t>Review and enhance access to and availability of qualified oral interpreters for individuals with LEP. Consider the following:</w:t>
            </w:r>
          </w:p>
          <w:p w14:paraId="5C63389E" w14:textId="77777777" w:rsidR="00B95C9A" w:rsidRPr="002217B4" w:rsidRDefault="00B95C9A" w:rsidP="00DA2575">
            <w:pPr>
              <w:pStyle w:val="ListParagraph"/>
              <w:numPr>
                <w:ilvl w:val="2"/>
                <w:numId w:val="20"/>
              </w:numPr>
              <w:rPr>
                <w:rFonts w:eastAsia="Times New Roman"/>
                <w:i/>
                <w:iCs/>
              </w:rPr>
            </w:pPr>
            <w:r w:rsidRPr="002217B4">
              <w:rPr>
                <w:rFonts w:eastAsia="Times New Roman"/>
                <w:i/>
                <w:iCs/>
              </w:rPr>
              <w:lastRenderedPageBreak/>
              <w:t>Hire or deploy multilingual staff who speak certain frequently spoken languages within the states’ population (e.g., Spanish) and conduct training</w:t>
            </w:r>
          </w:p>
          <w:p w14:paraId="657FF231" w14:textId="77777777" w:rsidR="00B95C9A" w:rsidRPr="002217B4" w:rsidRDefault="00F149E9" w:rsidP="00DA2575">
            <w:pPr>
              <w:pStyle w:val="ListParagraph"/>
              <w:numPr>
                <w:ilvl w:val="2"/>
                <w:numId w:val="20"/>
              </w:numPr>
              <w:rPr>
                <w:rFonts w:eastAsia="Times New Roman"/>
                <w:i/>
                <w:iCs/>
              </w:rPr>
            </w:pPr>
            <w:r w:rsidRPr="002217B4">
              <w:rPr>
                <w:rFonts w:eastAsia="Times New Roman"/>
                <w:i/>
                <w:iCs/>
              </w:rPr>
              <w:t>Partner with community-based organizations with interpretation services</w:t>
            </w:r>
          </w:p>
          <w:p w14:paraId="787B381C" w14:textId="77777777" w:rsidR="00F149E9" w:rsidRPr="002217B4" w:rsidRDefault="00F149E9" w:rsidP="00DA2575">
            <w:pPr>
              <w:pStyle w:val="ListParagraph"/>
              <w:numPr>
                <w:ilvl w:val="2"/>
                <w:numId w:val="20"/>
              </w:numPr>
              <w:rPr>
                <w:rFonts w:eastAsia="Times New Roman"/>
                <w:i/>
                <w:iCs/>
              </w:rPr>
            </w:pPr>
            <w:r w:rsidRPr="002217B4">
              <w:rPr>
                <w:rFonts w:eastAsia="Times New Roman"/>
                <w:i/>
                <w:iCs/>
              </w:rPr>
              <w:t>Provide qualified telephonic interpreters (some interpreter vendors offer services in over 100 languages)</w:t>
            </w:r>
          </w:p>
          <w:p w14:paraId="2A24831C" w14:textId="77777777" w:rsidR="00F149E9" w:rsidRPr="002217B4" w:rsidRDefault="007B335E" w:rsidP="00DA2575">
            <w:pPr>
              <w:pStyle w:val="ListParagraph"/>
              <w:numPr>
                <w:ilvl w:val="1"/>
                <w:numId w:val="20"/>
              </w:numPr>
              <w:rPr>
                <w:rFonts w:eastAsia="Times New Roman"/>
                <w:i/>
                <w:iCs/>
              </w:rPr>
            </w:pPr>
            <w:r w:rsidRPr="002217B4">
              <w:rPr>
                <w:rFonts w:eastAsia="Times New Roman"/>
                <w:i/>
                <w:iCs/>
              </w:rPr>
              <w:t>Ensure individuals with LEP know how to access available language services by updating websites with taglines in non-English languages (e.g., short statements that language services are available free of charge, including how to access those services)</w:t>
            </w:r>
          </w:p>
          <w:p w14:paraId="55C6833E" w14:textId="77777777" w:rsidR="007B335E" w:rsidRPr="002217B4" w:rsidRDefault="007B335E" w:rsidP="00DA2575">
            <w:pPr>
              <w:pStyle w:val="ListParagraph"/>
              <w:numPr>
                <w:ilvl w:val="1"/>
                <w:numId w:val="20"/>
              </w:numPr>
              <w:rPr>
                <w:rFonts w:eastAsia="Times New Roman"/>
                <w:i/>
                <w:iCs/>
              </w:rPr>
            </w:pPr>
            <w:r w:rsidRPr="002217B4">
              <w:rPr>
                <w:rFonts w:eastAsia="Times New Roman"/>
                <w:i/>
                <w:iCs/>
              </w:rPr>
              <w:t>Ensure that information is communicated to individuals living with disabilities accessibly by providing auxiliary services at no cost to the individual, including but not limited to written materials in large print or Braille, and access to sign language interpretation and/or a teletypewriter (TTY) system, consistent with the Americans with Disabilities Act (ADA) and section 1557 of the Affordable Care Act</w:t>
            </w:r>
          </w:p>
          <w:p w14:paraId="3BA5B299" w14:textId="77777777" w:rsidR="007B335E" w:rsidRPr="00DD43C5" w:rsidRDefault="007B335E" w:rsidP="007B335E">
            <w:pPr>
              <w:pStyle w:val="ListParagraph"/>
              <w:ind w:left="1080"/>
              <w:rPr>
                <w:rFonts w:eastAsia="Times New Roman"/>
              </w:rPr>
            </w:pPr>
          </w:p>
        </w:tc>
        <w:tc>
          <w:tcPr>
            <w:tcW w:w="9810" w:type="dxa"/>
            <w:vMerge/>
          </w:tcPr>
          <w:p w14:paraId="5EC15F96" w14:textId="77777777" w:rsidR="004B2889" w:rsidRPr="00795BFC" w:rsidRDefault="004B2889" w:rsidP="00DA2575">
            <w:pPr>
              <w:pStyle w:val="BodyText"/>
              <w:numPr>
                <w:ilvl w:val="0"/>
                <w:numId w:val="19"/>
              </w:numPr>
              <w:spacing w:before="7"/>
              <w:rPr>
                <w:i/>
                <w:iCs/>
                <w:color w:val="4F81BD" w:themeColor="accent1"/>
              </w:rPr>
            </w:pPr>
          </w:p>
        </w:tc>
      </w:tr>
      <w:tr w:rsidR="00E84FCE" w:rsidRPr="00BD77C8" w14:paraId="2ADC220D" w14:textId="77777777" w:rsidTr="6493D36F">
        <w:tc>
          <w:tcPr>
            <w:tcW w:w="6930" w:type="dxa"/>
          </w:tcPr>
          <w:p w14:paraId="4290E4B1" w14:textId="2FE80DD8" w:rsidR="00E84FCE" w:rsidRPr="00F61FA9" w:rsidRDefault="00E84FCE" w:rsidP="00DA2575">
            <w:pPr>
              <w:pStyle w:val="BodyText"/>
              <w:numPr>
                <w:ilvl w:val="0"/>
                <w:numId w:val="14"/>
              </w:numPr>
              <w:spacing w:before="7"/>
              <w:rPr>
                <w:rFonts w:eastAsia="Times New Roman"/>
              </w:rPr>
            </w:pPr>
            <w:r>
              <w:rPr>
                <w:b/>
                <w:bCs/>
              </w:rPr>
              <w:t>Other:</w:t>
            </w:r>
            <w:r w:rsidR="00E73D99">
              <w:rPr>
                <w:b/>
                <w:bCs/>
              </w:rPr>
              <w:t xml:space="preserve"> </w:t>
            </w:r>
          </w:p>
        </w:tc>
        <w:tc>
          <w:tcPr>
            <w:tcW w:w="9810" w:type="dxa"/>
            <w:vMerge/>
          </w:tcPr>
          <w:p w14:paraId="4BA24273" w14:textId="77777777" w:rsidR="00E84FCE" w:rsidRPr="00BD77C8" w:rsidRDefault="00E84FCE" w:rsidP="00E04D78">
            <w:pPr>
              <w:pStyle w:val="BodyText"/>
              <w:spacing w:before="7"/>
              <w:ind w:firstLine="60"/>
            </w:pPr>
          </w:p>
        </w:tc>
      </w:tr>
    </w:tbl>
    <w:p w14:paraId="5A131241" w14:textId="77777777" w:rsidR="00E84FCE" w:rsidRDefault="00E84FCE" w:rsidP="00F40A19">
      <w:pPr>
        <w:contextualSpacing/>
        <w:rPr>
          <w:rFonts w:asciiTheme="minorHAnsi" w:hAnsiTheme="minorHAnsi" w:cstheme="minorHAnsi"/>
          <w:b/>
          <w:bCs/>
        </w:rPr>
      </w:pPr>
    </w:p>
    <w:p w14:paraId="28B03709" w14:textId="45818762" w:rsidR="001B51C5" w:rsidRPr="001B51C5" w:rsidRDefault="00E67784" w:rsidP="00DA2575">
      <w:pPr>
        <w:numPr>
          <w:ilvl w:val="0"/>
          <w:numId w:val="13"/>
        </w:numPr>
        <w:contextualSpacing/>
        <w:rPr>
          <w:rFonts w:asciiTheme="minorHAnsi" w:hAnsiTheme="minorHAnsi" w:cstheme="minorHAnsi"/>
          <w:b/>
          <w:bCs/>
        </w:rPr>
      </w:pPr>
      <w:r>
        <w:rPr>
          <w:rFonts w:asciiTheme="minorHAnsi" w:hAnsiTheme="minorHAnsi" w:cstheme="minorHAnsi"/>
          <w:b/>
          <w:bCs/>
        </w:rPr>
        <w:t xml:space="preserve">Key risk: Gaps in coverage for </w:t>
      </w:r>
      <w:r w:rsidR="00FE6905">
        <w:rPr>
          <w:rFonts w:asciiTheme="minorHAnsi" w:hAnsiTheme="minorHAnsi" w:cstheme="minorHAnsi"/>
          <w:b/>
          <w:bCs/>
        </w:rPr>
        <w:t>individuals</w:t>
      </w:r>
      <w:r>
        <w:rPr>
          <w:rFonts w:asciiTheme="minorHAnsi" w:hAnsiTheme="minorHAnsi" w:cstheme="minorHAnsi"/>
          <w:b/>
          <w:bCs/>
        </w:rPr>
        <w:t xml:space="preserve"> who are no longer eligible for Medicaid</w:t>
      </w:r>
      <w:r w:rsidR="008A1EC0">
        <w:rPr>
          <w:rFonts w:asciiTheme="minorHAnsi" w:hAnsiTheme="minorHAnsi" w:cstheme="minorHAnsi"/>
          <w:b/>
          <w:bCs/>
        </w:rPr>
        <w:t xml:space="preserve">, </w:t>
      </w:r>
      <w:r w:rsidR="00CA5EA5">
        <w:rPr>
          <w:rFonts w:asciiTheme="minorHAnsi" w:hAnsiTheme="minorHAnsi" w:cstheme="minorHAnsi"/>
          <w:b/>
          <w:bCs/>
        </w:rPr>
        <w:t>CHIP</w:t>
      </w:r>
      <w:r w:rsidR="008A1EC0">
        <w:rPr>
          <w:rFonts w:asciiTheme="minorHAnsi" w:hAnsiTheme="minorHAnsi" w:cstheme="minorHAnsi"/>
          <w:b/>
          <w:bCs/>
        </w:rPr>
        <w:t xml:space="preserve"> or BHP</w:t>
      </w:r>
      <w:r w:rsidR="00CA5EA5">
        <w:rPr>
          <w:rFonts w:asciiTheme="minorHAnsi" w:hAnsiTheme="minorHAnsi" w:cstheme="minorHAnsi"/>
          <w:b/>
          <w:bCs/>
        </w:rPr>
        <w:t xml:space="preserve"> </w:t>
      </w:r>
    </w:p>
    <w:p w14:paraId="0B3C0B92" w14:textId="77777777" w:rsidR="001B51C5" w:rsidRPr="001B51C5" w:rsidRDefault="001B51C5" w:rsidP="001B51C5">
      <w:pPr>
        <w:ind w:left="1080"/>
        <w:contextualSpacing/>
        <w:rPr>
          <w:rFonts w:asciiTheme="minorHAnsi" w:hAnsiTheme="minorHAnsi" w:cstheme="minorHAnsi"/>
          <w:b/>
          <w:bCs/>
        </w:rPr>
      </w:pPr>
    </w:p>
    <w:tbl>
      <w:tblPr>
        <w:tblStyle w:val="TableGrid"/>
        <w:tblW w:w="16740" w:type="dxa"/>
        <w:tblInd w:w="715" w:type="dxa"/>
        <w:tblLook w:val="04A0" w:firstRow="1" w:lastRow="0" w:firstColumn="1" w:lastColumn="0" w:noHBand="0" w:noVBand="1"/>
      </w:tblPr>
      <w:tblGrid>
        <w:gridCol w:w="6930"/>
        <w:gridCol w:w="9810"/>
      </w:tblGrid>
      <w:tr w:rsidR="00B41043" w:rsidRPr="00B41043" w14:paraId="730794AB" w14:textId="77777777" w:rsidTr="6493D36F">
        <w:trPr>
          <w:trHeight w:val="413"/>
          <w:tblHeader/>
        </w:trPr>
        <w:tc>
          <w:tcPr>
            <w:tcW w:w="6930" w:type="dxa"/>
            <w:shd w:val="clear" w:color="auto" w:fill="4F81BD" w:themeFill="accent1"/>
          </w:tcPr>
          <w:p w14:paraId="19949577" w14:textId="77777777" w:rsidR="0096107C" w:rsidRPr="00B41043" w:rsidRDefault="00A50A73" w:rsidP="001B51C5">
            <w:pPr>
              <w:rPr>
                <w:rFonts w:asciiTheme="minorHAnsi" w:hAnsiTheme="minorHAnsi" w:cstheme="minorHAnsi"/>
                <w:b/>
                <w:bCs/>
              </w:rPr>
            </w:pPr>
            <w:r w:rsidRPr="00B41043">
              <w:rPr>
                <w:rFonts w:asciiTheme="minorHAnsi" w:hAnsiTheme="minorHAnsi" w:cstheme="minorBidi"/>
                <w:b/>
                <w:bCs/>
              </w:rPr>
              <w:t>Potential Strategies to Mitigate Risk</w:t>
            </w:r>
          </w:p>
        </w:tc>
        <w:tc>
          <w:tcPr>
            <w:tcW w:w="9810" w:type="dxa"/>
            <w:shd w:val="clear" w:color="auto" w:fill="4F81BD" w:themeFill="accent1"/>
          </w:tcPr>
          <w:p w14:paraId="7436BD42" w14:textId="77777777" w:rsidR="0096107C" w:rsidRPr="00B41043" w:rsidRDefault="0096107C" w:rsidP="001B51C5">
            <w:pPr>
              <w:rPr>
                <w:rFonts w:asciiTheme="minorHAnsi" w:hAnsiTheme="minorHAnsi" w:cstheme="minorHAnsi"/>
                <w:b/>
                <w:bCs/>
              </w:rPr>
            </w:pPr>
            <w:r w:rsidRPr="00B41043">
              <w:rPr>
                <w:rFonts w:asciiTheme="minorHAnsi" w:hAnsiTheme="minorHAnsi" w:cstheme="minorBidi"/>
                <w:b/>
                <w:bCs/>
              </w:rPr>
              <w:t>State Approach and Timeline</w:t>
            </w:r>
          </w:p>
        </w:tc>
      </w:tr>
      <w:tr w:rsidR="0096107C" w:rsidRPr="001B51C5" w14:paraId="5C2ABACE" w14:textId="77777777" w:rsidTr="0074275D">
        <w:tc>
          <w:tcPr>
            <w:tcW w:w="6930" w:type="dxa"/>
          </w:tcPr>
          <w:p w14:paraId="04DF6287" w14:textId="5B67C2B3" w:rsidR="0096107C" w:rsidRPr="001B51C5" w:rsidRDefault="0096107C" w:rsidP="00DA2575">
            <w:pPr>
              <w:widowControl w:val="0"/>
              <w:numPr>
                <w:ilvl w:val="0"/>
                <w:numId w:val="14"/>
              </w:numPr>
              <w:spacing w:before="7" w:after="240"/>
              <w:rPr>
                <w:b/>
                <w:bCs/>
              </w:rPr>
            </w:pPr>
            <w:r w:rsidRPr="001B51C5">
              <w:t xml:space="preserve">Ensure </w:t>
            </w:r>
            <w:r w:rsidR="006F4484">
              <w:t>a</w:t>
            </w:r>
            <w:r w:rsidRPr="001B51C5">
              <w:t>ccount</w:t>
            </w:r>
            <w:r w:rsidR="001C0713">
              <w:t>s</w:t>
            </w:r>
            <w:r w:rsidRPr="001B51C5">
              <w:t xml:space="preserve"> </w:t>
            </w:r>
            <w:r w:rsidR="006F4484">
              <w:t xml:space="preserve">are seamlessly transferred to the Marketplace when individuals are found ineligible for Medicaid, CHIP, or </w:t>
            </w:r>
            <w:r w:rsidR="00934111">
              <w:t>BHP</w:t>
            </w:r>
          </w:p>
        </w:tc>
        <w:tc>
          <w:tcPr>
            <w:tcW w:w="9810" w:type="dxa"/>
            <w:vMerge w:val="restart"/>
          </w:tcPr>
          <w:p w14:paraId="08D39902" w14:textId="77777777" w:rsidR="00C57703" w:rsidRPr="00BE43F1" w:rsidRDefault="00C57703" w:rsidP="00DA2575">
            <w:pPr>
              <w:pStyle w:val="BodyText"/>
              <w:numPr>
                <w:ilvl w:val="0"/>
                <w:numId w:val="21"/>
              </w:numPr>
              <w:spacing w:before="7"/>
              <w:rPr>
                <w:i/>
                <w:iCs/>
                <w:color w:val="4172AD"/>
              </w:rPr>
            </w:pPr>
            <w:r w:rsidRPr="00BE43F1">
              <w:rPr>
                <w:i/>
                <w:iCs/>
                <w:color w:val="4172AD"/>
              </w:rPr>
              <w:t>How significant is this risk</w:t>
            </w:r>
            <w:r w:rsidR="0040364C" w:rsidRPr="00BE43F1">
              <w:rPr>
                <w:i/>
                <w:iCs/>
                <w:color w:val="4172AD"/>
              </w:rPr>
              <w:t xml:space="preserve"> in your state</w:t>
            </w:r>
            <w:r w:rsidRPr="00BE43F1">
              <w:rPr>
                <w:i/>
                <w:iCs/>
                <w:color w:val="4172AD"/>
              </w:rPr>
              <w:t xml:space="preserve">? </w:t>
            </w:r>
          </w:p>
          <w:p w14:paraId="38A18B8A" w14:textId="77777777" w:rsidR="00C57703" w:rsidRPr="00BE43F1" w:rsidRDefault="00C57703" w:rsidP="00DA2575">
            <w:pPr>
              <w:pStyle w:val="BodyText"/>
              <w:numPr>
                <w:ilvl w:val="0"/>
                <w:numId w:val="21"/>
              </w:numPr>
              <w:spacing w:before="7"/>
              <w:rPr>
                <w:i/>
                <w:iCs/>
                <w:color w:val="4172AD"/>
              </w:rPr>
            </w:pPr>
            <w:r w:rsidRPr="00BE43F1">
              <w:rPr>
                <w:i/>
                <w:iCs/>
                <w:color w:val="4172AD"/>
              </w:rPr>
              <w:t xml:space="preserve">Which of these strategies will the state implement to mitigate risk? </w:t>
            </w:r>
            <w:r w:rsidR="0040364C" w:rsidRPr="00BE43F1">
              <w:rPr>
                <w:i/>
                <w:iCs/>
                <w:color w:val="4172AD"/>
              </w:rPr>
              <w:t>Are there other strategies the state will adopt?</w:t>
            </w:r>
          </w:p>
          <w:p w14:paraId="2872EE3F" w14:textId="7819F184" w:rsidR="0096107C" w:rsidRPr="001B51C5" w:rsidRDefault="00C57703" w:rsidP="00DA2575">
            <w:pPr>
              <w:pStyle w:val="ListParagraph"/>
              <w:widowControl w:val="0"/>
              <w:numPr>
                <w:ilvl w:val="0"/>
                <w:numId w:val="21"/>
              </w:numPr>
              <w:spacing w:before="7" w:after="240"/>
            </w:pPr>
            <w:r w:rsidRPr="00BE43F1">
              <w:rPr>
                <w:i/>
                <w:iCs/>
                <w:color w:val="4172AD"/>
              </w:rPr>
              <w:lastRenderedPageBreak/>
              <w:t>What steps will the state need to take to operationalize th</w:t>
            </w:r>
            <w:r w:rsidR="007F7ADB" w:rsidRPr="00BE43F1">
              <w:rPr>
                <w:i/>
                <w:iCs/>
                <w:color w:val="4172AD"/>
              </w:rPr>
              <w:t>ese</w:t>
            </w:r>
            <w:r w:rsidRPr="00BE43F1">
              <w:rPr>
                <w:i/>
                <w:iCs/>
                <w:color w:val="4172AD"/>
              </w:rPr>
              <w:t xml:space="preserve"> strategies and when?</w:t>
            </w:r>
          </w:p>
        </w:tc>
      </w:tr>
      <w:tr w:rsidR="0096107C" w:rsidRPr="001B51C5" w14:paraId="16558F5E" w14:textId="77777777" w:rsidTr="6493D36F">
        <w:tc>
          <w:tcPr>
            <w:tcW w:w="6930" w:type="dxa"/>
          </w:tcPr>
          <w:p w14:paraId="6E4D5B75" w14:textId="36A53D59" w:rsidR="0096107C" w:rsidRPr="001B51C5" w:rsidRDefault="0096107C" w:rsidP="00DA2575">
            <w:pPr>
              <w:widowControl w:val="0"/>
              <w:numPr>
                <w:ilvl w:val="0"/>
                <w:numId w:val="14"/>
              </w:numPr>
              <w:spacing w:before="7" w:after="240"/>
              <w:rPr>
                <w:rFonts w:eastAsia="Times New Roman"/>
              </w:rPr>
            </w:pPr>
            <w:r w:rsidRPr="001B51C5">
              <w:rPr>
                <w:rFonts w:eastAsia="Times New Roman"/>
              </w:rPr>
              <w:t xml:space="preserve">Obtain </w:t>
            </w:r>
            <w:r w:rsidR="006F4484">
              <w:rPr>
                <w:rFonts w:eastAsia="Times New Roman"/>
              </w:rPr>
              <w:t xml:space="preserve">and include robust contact information (e.g., mailing address, email address, and telephone numbers) in the Account Transfer to the </w:t>
            </w:r>
            <w:r w:rsidR="006F4484">
              <w:rPr>
                <w:rFonts w:eastAsia="Times New Roman"/>
              </w:rPr>
              <w:lastRenderedPageBreak/>
              <w:t>Marketplace so that enrollees may be easily reached post-transition</w:t>
            </w:r>
          </w:p>
        </w:tc>
        <w:tc>
          <w:tcPr>
            <w:tcW w:w="9810" w:type="dxa"/>
            <w:vMerge/>
          </w:tcPr>
          <w:p w14:paraId="28BA838D" w14:textId="77777777" w:rsidR="0096107C" w:rsidRPr="001B51C5" w:rsidRDefault="0096107C" w:rsidP="001B51C5">
            <w:pPr>
              <w:widowControl w:val="0"/>
              <w:spacing w:before="7" w:after="240"/>
              <w:ind w:firstLine="60"/>
            </w:pPr>
          </w:p>
        </w:tc>
      </w:tr>
      <w:tr w:rsidR="0096107C" w:rsidRPr="001B51C5" w14:paraId="4C6A4EB0" w14:textId="77777777" w:rsidTr="6493D36F">
        <w:tc>
          <w:tcPr>
            <w:tcW w:w="6930" w:type="dxa"/>
          </w:tcPr>
          <w:p w14:paraId="6B69C623" w14:textId="5AE46C0B" w:rsidR="0096107C" w:rsidRPr="006F4484" w:rsidRDefault="006F4484" w:rsidP="00DA2575">
            <w:pPr>
              <w:pStyle w:val="ListParagraph"/>
              <w:numPr>
                <w:ilvl w:val="0"/>
                <w:numId w:val="14"/>
              </w:numPr>
              <w:spacing w:line="259" w:lineRule="auto"/>
              <w:rPr>
                <w:rFonts w:eastAsia="Times New Roman"/>
              </w:rPr>
            </w:pPr>
            <w:r w:rsidRPr="005A350B">
              <w:rPr>
                <w:rFonts w:eastAsia="Times New Roman"/>
              </w:rPr>
              <w:t xml:space="preserve">Conduct </w:t>
            </w:r>
            <w:r>
              <w:rPr>
                <w:rFonts w:eastAsia="Times New Roman"/>
              </w:rPr>
              <w:t xml:space="preserve">regular </w:t>
            </w:r>
            <w:r w:rsidRPr="005A350B">
              <w:rPr>
                <w:rFonts w:eastAsia="Times New Roman"/>
              </w:rPr>
              <w:t xml:space="preserve">system testing/quality assurance to eliminate glitches in sending or receiving </w:t>
            </w:r>
            <w:r>
              <w:rPr>
                <w:rFonts w:eastAsia="Times New Roman"/>
              </w:rPr>
              <w:t>accounts</w:t>
            </w:r>
            <w:r w:rsidRPr="005A350B">
              <w:rPr>
                <w:rFonts w:eastAsia="Times New Roman"/>
              </w:rPr>
              <w:t xml:space="preserve"> </w:t>
            </w:r>
            <w:r>
              <w:rPr>
                <w:rFonts w:eastAsia="Times New Roman"/>
              </w:rPr>
              <w:t>between the</w:t>
            </w:r>
            <w:r w:rsidR="0024641E">
              <w:rPr>
                <w:rFonts w:eastAsia="Times New Roman"/>
              </w:rPr>
              <w:t xml:space="preserve"> Medicaid or CHIP agency and the</w:t>
            </w:r>
            <w:r>
              <w:rPr>
                <w:rFonts w:eastAsia="Times New Roman"/>
              </w:rPr>
              <w:t xml:space="preserve"> Marketplace</w:t>
            </w:r>
          </w:p>
        </w:tc>
        <w:tc>
          <w:tcPr>
            <w:tcW w:w="9810" w:type="dxa"/>
            <w:vMerge/>
          </w:tcPr>
          <w:p w14:paraId="53E3275F" w14:textId="77777777" w:rsidR="0096107C" w:rsidRPr="001B51C5" w:rsidRDefault="0096107C" w:rsidP="001B51C5">
            <w:pPr>
              <w:widowControl w:val="0"/>
              <w:spacing w:before="7" w:after="240"/>
              <w:ind w:firstLine="60"/>
            </w:pPr>
          </w:p>
        </w:tc>
      </w:tr>
      <w:tr w:rsidR="0096107C" w:rsidRPr="001B51C5" w14:paraId="378C9674" w14:textId="77777777" w:rsidTr="6493D36F">
        <w:tc>
          <w:tcPr>
            <w:tcW w:w="6930" w:type="dxa"/>
          </w:tcPr>
          <w:p w14:paraId="25599459" w14:textId="7C2F3D85" w:rsidR="0096107C" w:rsidRPr="001B51C5" w:rsidRDefault="0096107C" w:rsidP="00DA2575">
            <w:pPr>
              <w:widowControl w:val="0"/>
              <w:numPr>
                <w:ilvl w:val="0"/>
                <w:numId w:val="14"/>
              </w:numPr>
              <w:spacing w:before="7" w:after="240"/>
              <w:rPr>
                <w:rFonts w:eastAsia="Times New Roman"/>
              </w:rPr>
            </w:pPr>
            <w:r w:rsidRPr="001B51C5">
              <w:rPr>
                <w:rFonts w:eastAsia="Times New Roman"/>
              </w:rPr>
              <w:t xml:space="preserve">Revise notices to ensure they clearly </w:t>
            </w:r>
            <w:r w:rsidR="006F4484" w:rsidRPr="00887416">
              <w:rPr>
                <w:rFonts w:eastAsia="Times New Roman"/>
              </w:rPr>
              <w:t>explain the Account Transfer process</w:t>
            </w:r>
            <w:r w:rsidR="00035D22">
              <w:rPr>
                <w:rFonts w:eastAsia="Times New Roman"/>
              </w:rPr>
              <w:t>,</w:t>
            </w:r>
            <w:r w:rsidR="006F4484" w:rsidRPr="00887416">
              <w:rPr>
                <w:rFonts w:eastAsia="Times New Roman"/>
              </w:rPr>
              <w:t xml:space="preserve"> next steps </w:t>
            </w:r>
            <w:r w:rsidR="001D5E07" w:rsidRPr="001D5E07">
              <w:rPr>
                <w:rFonts w:eastAsia="Times New Roman"/>
              </w:rPr>
              <w:t>and applicable deadline(s) for applying for and enrolling in a Qualified Health Plan (QHP) with financial assistance, and where to seek answers to questions at the Marketplace</w:t>
            </w:r>
          </w:p>
        </w:tc>
        <w:tc>
          <w:tcPr>
            <w:tcW w:w="9810" w:type="dxa"/>
            <w:vMerge/>
          </w:tcPr>
          <w:p w14:paraId="789CEF13" w14:textId="77777777" w:rsidR="0096107C" w:rsidRPr="001B51C5" w:rsidRDefault="0096107C" w:rsidP="001B51C5">
            <w:pPr>
              <w:widowControl w:val="0"/>
              <w:spacing w:before="7" w:after="240"/>
              <w:ind w:firstLine="60"/>
            </w:pPr>
          </w:p>
        </w:tc>
      </w:tr>
      <w:tr w:rsidR="0096107C" w:rsidRPr="001B51C5" w14:paraId="1408F950" w14:textId="77777777" w:rsidTr="6493D36F">
        <w:tc>
          <w:tcPr>
            <w:tcW w:w="6930" w:type="dxa"/>
          </w:tcPr>
          <w:p w14:paraId="27749F02" w14:textId="3F7C8D51" w:rsidR="0096107C" w:rsidRPr="001B51C5" w:rsidRDefault="0096107C" w:rsidP="00DA2575">
            <w:pPr>
              <w:widowControl w:val="0"/>
              <w:numPr>
                <w:ilvl w:val="0"/>
                <w:numId w:val="14"/>
              </w:numPr>
              <w:spacing w:before="7" w:after="240"/>
              <w:rPr>
                <w:b/>
                <w:bCs/>
              </w:rPr>
            </w:pPr>
            <w:r w:rsidRPr="001B51C5">
              <w:rPr>
                <w:rFonts w:eastAsia="Times New Roman"/>
              </w:rPr>
              <w:t xml:space="preserve">Introduce an eligibility results page following </w:t>
            </w:r>
            <w:r w:rsidR="006F4484">
              <w:rPr>
                <w:rFonts w:eastAsia="Times New Roman"/>
              </w:rPr>
              <w:t xml:space="preserve">an online application that provides real-time guidance on </w:t>
            </w:r>
            <w:r w:rsidR="0024641E">
              <w:rPr>
                <w:rFonts w:eastAsia="Times New Roman"/>
              </w:rPr>
              <w:t>next steps and the transition to the Marketplace</w:t>
            </w:r>
          </w:p>
        </w:tc>
        <w:tc>
          <w:tcPr>
            <w:tcW w:w="9810" w:type="dxa"/>
            <w:vMerge/>
          </w:tcPr>
          <w:p w14:paraId="4004D26A" w14:textId="77777777" w:rsidR="0096107C" w:rsidRPr="001B51C5" w:rsidRDefault="0096107C" w:rsidP="001B51C5">
            <w:pPr>
              <w:widowControl w:val="0"/>
              <w:spacing w:before="7" w:after="240"/>
              <w:ind w:firstLine="60"/>
            </w:pPr>
          </w:p>
        </w:tc>
      </w:tr>
      <w:tr w:rsidR="0096107C" w:rsidRPr="001B51C5" w14:paraId="70CC600E" w14:textId="77777777" w:rsidTr="6493D36F">
        <w:tc>
          <w:tcPr>
            <w:tcW w:w="6930" w:type="dxa"/>
          </w:tcPr>
          <w:p w14:paraId="37512C82" w14:textId="77777777" w:rsidR="0096107C" w:rsidRPr="001B51C5" w:rsidRDefault="0096107C" w:rsidP="00DA2575">
            <w:pPr>
              <w:widowControl w:val="0"/>
              <w:numPr>
                <w:ilvl w:val="0"/>
                <w:numId w:val="14"/>
              </w:numPr>
              <w:spacing w:before="7" w:after="240"/>
              <w:rPr>
                <w:rFonts w:eastAsia="Times New Roman"/>
              </w:rPr>
            </w:pPr>
            <w:r w:rsidRPr="001B51C5">
              <w:rPr>
                <w:rFonts w:eastAsia="Times New Roman"/>
              </w:rPr>
              <w:t xml:space="preserve">Set up </w:t>
            </w:r>
            <w:r w:rsidR="007F7ADB">
              <w:rPr>
                <w:rFonts w:eastAsia="Times New Roman"/>
              </w:rPr>
              <w:t xml:space="preserve">a </w:t>
            </w:r>
            <w:r w:rsidRPr="001B51C5">
              <w:rPr>
                <w:rFonts w:eastAsia="Times New Roman"/>
              </w:rPr>
              <w:t xml:space="preserve">regular feedback loop/information-sharing process </w:t>
            </w:r>
            <w:r w:rsidR="006F4484">
              <w:rPr>
                <w:rFonts w:eastAsia="Times New Roman"/>
              </w:rPr>
              <w:t>with the</w:t>
            </w:r>
            <w:r w:rsidR="009C638C">
              <w:rPr>
                <w:rFonts w:eastAsia="Times New Roman"/>
              </w:rPr>
              <w:t xml:space="preserve"> </w:t>
            </w:r>
            <w:r w:rsidR="009C638C" w:rsidRPr="009C638C">
              <w:rPr>
                <w:rFonts w:eastAsia="Times New Roman"/>
              </w:rPr>
              <w:t>Centers for Medicaid and CHIP Services</w:t>
            </w:r>
            <w:r w:rsidR="006F4484">
              <w:rPr>
                <w:rFonts w:eastAsia="Times New Roman"/>
              </w:rPr>
              <w:t xml:space="preserve"> </w:t>
            </w:r>
            <w:r w:rsidR="009C638C">
              <w:rPr>
                <w:rFonts w:eastAsia="Times New Roman"/>
              </w:rPr>
              <w:t>(</w:t>
            </w:r>
            <w:r w:rsidR="006F4484">
              <w:rPr>
                <w:rFonts w:eastAsia="Times New Roman"/>
              </w:rPr>
              <w:t>CMCS</w:t>
            </w:r>
            <w:r w:rsidR="009C638C">
              <w:rPr>
                <w:rFonts w:eastAsia="Times New Roman"/>
              </w:rPr>
              <w:t>)</w:t>
            </w:r>
            <w:r w:rsidR="006F4484">
              <w:rPr>
                <w:rFonts w:eastAsia="Times New Roman"/>
              </w:rPr>
              <w:t xml:space="preserve"> Data and Systems Group (DSG) </w:t>
            </w:r>
            <w:r w:rsidR="00017891" w:rsidRPr="00017891">
              <w:rPr>
                <w:rFonts w:eastAsia="Times New Roman"/>
              </w:rPr>
              <w:t xml:space="preserve">(Enterprise State Systems Officer) </w:t>
            </w:r>
            <w:r w:rsidR="006F4484">
              <w:rPr>
                <w:rFonts w:eastAsia="Times New Roman"/>
              </w:rPr>
              <w:t xml:space="preserve">and the </w:t>
            </w:r>
            <w:r w:rsidR="006F4484" w:rsidRPr="004C5184">
              <w:rPr>
                <w:rFonts w:eastAsia="Times New Roman"/>
              </w:rPr>
              <w:t xml:space="preserve">Center for Consumer Information and Insurance Oversight </w:t>
            </w:r>
            <w:r w:rsidR="006F4484">
              <w:rPr>
                <w:rFonts w:eastAsia="Times New Roman"/>
              </w:rPr>
              <w:t>(CCIIO) to identify and troubleshoot Account Transfer issues</w:t>
            </w:r>
          </w:p>
        </w:tc>
        <w:tc>
          <w:tcPr>
            <w:tcW w:w="9810" w:type="dxa"/>
            <w:vMerge/>
          </w:tcPr>
          <w:p w14:paraId="402544C7" w14:textId="77777777" w:rsidR="0096107C" w:rsidRPr="001B51C5" w:rsidRDefault="0096107C" w:rsidP="001B51C5">
            <w:pPr>
              <w:widowControl w:val="0"/>
              <w:spacing w:before="7" w:after="240"/>
              <w:ind w:firstLine="60"/>
            </w:pPr>
          </w:p>
        </w:tc>
      </w:tr>
      <w:tr w:rsidR="0096107C" w:rsidRPr="001B51C5" w14:paraId="06023C03" w14:textId="77777777" w:rsidTr="6493D36F">
        <w:trPr>
          <w:trHeight w:val="413"/>
        </w:trPr>
        <w:tc>
          <w:tcPr>
            <w:tcW w:w="6930" w:type="dxa"/>
          </w:tcPr>
          <w:p w14:paraId="6B8DEA27" w14:textId="5305DC58" w:rsidR="0096107C" w:rsidRPr="001B51C5" w:rsidRDefault="0096107C" w:rsidP="00DA2575">
            <w:pPr>
              <w:widowControl w:val="0"/>
              <w:numPr>
                <w:ilvl w:val="0"/>
                <w:numId w:val="14"/>
              </w:numPr>
              <w:spacing w:before="7" w:after="240"/>
              <w:rPr>
                <w:b/>
                <w:bCs/>
              </w:rPr>
            </w:pPr>
            <w:r w:rsidRPr="001B51C5">
              <w:rPr>
                <w:b/>
                <w:bCs/>
              </w:rPr>
              <w:t>Other:</w:t>
            </w:r>
            <w:r w:rsidR="00E73D99">
              <w:rPr>
                <w:b/>
                <w:bCs/>
              </w:rPr>
              <w:t xml:space="preserve"> </w:t>
            </w:r>
          </w:p>
        </w:tc>
        <w:tc>
          <w:tcPr>
            <w:tcW w:w="9810" w:type="dxa"/>
            <w:vMerge/>
          </w:tcPr>
          <w:p w14:paraId="3E5CB7C1" w14:textId="77777777" w:rsidR="0096107C" w:rsidRPr="001B51C5" w:rsidRDefault="0096107C" w:rsidP="001B51C5">
            <w:pPr>
              <w:widowControl w:val="0"/>
              <w:spacing w:before="7" w:after="240"/>
              <w:ind w:firstLine="60"/>
            </w:pPr>
          </w:p>
        </w:tc>
      </w:tr>
    </w:tbl>
    <w:p w14:paraId="1EC4EADA" w14:textId="77777777" w:rsidR="001B51C5" w:rsidRPr="001B51C5" w:rsidRDefault="001B51C5" w:rsidP="001B51C5">
      <w:pPr>
        <w:rPr>
          <w:rFonts w:asciiTheme="minorHAnsi" w:hAnsiTheme="minorHAnsi" w:cstheme="minorHAnsi"/>
          <w:b/>
          <w:bCs/>
        </w:rPr>
      </w:pPr>
    </w:p>
    <w:p w14:paraId="037263AC" w14:textId="77777777" w:rsidR="00A50A73" w:rsidRDefault="00A50A73" w:rsidP="00A50A73">
      <w:pPr>
        <w:contextualSpacing/>
        <w:rPr>
          <w:rFonts w:asciiTheme="minorHAnsi" w:hAnsiTheme="minorHAnsi" w:cstheme="minorHAnsi"/>
          <w:b/>
          <w:bCs/>
        </w:rPr>
      </w:pPr>
    </w:p>
    <w:p w14:paraId="566672FB" w14:textId="28463657" w:rsidR="001B51C5" w:rsidRPr="001B51C5" w:rsidRDefault="00A50A73" w:rsidP="00DA2575">
      <w:pPr>
        <w:numPr>
          <w:ilvl w:val="0"/>
          <w:numId w:val="13"/>
        </w:numPr>
        <w:contextualSpacing/>
        <w:rPr>
          <w:rFonts w:asciiTheme="minorHAnsi" w:hAnsiTheme="minorHAnsi" w:cstheme="minorHAnsi"/>
          <w:b/>
          <w:bCs/>
        </w:rPr>
      </w:pPr>
      <w:r>
        <w:rPr>
          <w:rFonts w:asciiTheme="minorHAnsi" w:hAnsiTheme="minorHAnsi" w:cstheme="minorHAnsi"/>
          <w:b/>
          <w:bCs/>
        </w:rPr>
        <w:t xml:space="preserve">Key risk: Insufficient and over-burdened workforce </w:t>
      </w:r>
      <w:r w:rsidR="001B51C5" w:rsidRPr="001B51C5">
        <w:rPr>
          <w:rFonts w:asciiTheme="minorHAnsi" w:hAnsiTheme="minorHAnsi" w:cstheme="minorHAnsi"/>
          <w:b/>
          <w:bCs/>
        </w:rPr>
        <w:t>to resolve pending E&amp;E actions</w:t>
      </w:r>
      <w:r w:rsidR="00142713">
        <w:rPr>
          <w:rFonts w:asciiTheme="minorHAnsi" w:hAnsiTheme="minorHAnsi" w:cstheme="minorHAnsi"/>
          <w:b/>
          <w:bCs/>
        </w:rPr>
        <w:t xml:space="preserve"> and complete routine work</w:t>
      </w:r>
    </w:p>
    <w:p w14:paraId="3355FB8C" w14:textId="77777777" w:rsidR="001B51C5" w:rsidRPr="001B51C5" w:rsidRDefault="001B51C5" w:rsidP="001B51C5">
      <w:pPr>
        <w:rPr>
          <w:rFonts w:asciiTheme="majorHAnsi" w:hAnsiTheme="majorHAnsi" w:cstheme="minorHAnsi"/>
          <w:b/>
          <w:bCs/>
          <w:i/>
          <w:iCs/>
          <w:color w:val="365F91" w:themeColor="accent1" w:themeShade="BF"/>
          <w:sz w:val="28"/>
          <w:szCs w:val="28"/>
        </w:rPr>
      </w:pPr>
    </w:p>
    <w:tbl>
      <w:tblPr>
        <w:tblStyle w:val="TableGrid"/>
        <w:tblW w:w="16740" w:type="dxa"/>
        <w:tblInd w:w="715" w:type="dxa"/>
        <w:tblLook w:val="04A0" w:firstRow="1" w:lastRow="0" w:firstColumn="1" w:lastColumn="0" w:noHBand="0" w:noVBand="1"/>
      </w:tblPr>
      <w:tblGrid>
        <w:gridCol w:w="6930"/>
        <w:gridCol w:w="9810"/>
      </w:tblGrid>
      <w:tr w:rsidR="00B41043" w:rsidRPr="00B41043" w14:paraId="3E20387F" w14:textId="77777777" w:rsidTr="6493D36F">
        <w:trPr>
          <w:trHeight w:val="413"/>
          <w:tblHeader/>
        </w:trPr>
        <w:tc>
          <w:tcPr>
            <w:tcW w:w="6930" w:type="dxa"/>
            <w:shd w:val="clear" w:color="auto" w:fill="4F81BD" w:themeFill="accent1"/>
          </w:tcPr>
          <w:p w14:paraId="04A00713" w14:textId="77777777" w:rsidR="0096107C" w:rsidRPr="00B41043" w:rsidRDefault="00A50A73" w:rsidP="001B51C5">
            <w:pPr>
              <w:rPr>
                <w:rFonts w:asciiTheme="minorHAnsi" w:hAnsiTheme="minorHAnsi" w:cstheme="minorHAnsi"/>
                <w:b/>
                <w:bCs/>
              </w:rPr>
            </w:pPr>
            <w:r w:rsidRPr="00B41043">
              <w:rPr>
                <w:rFonts w:asciiTheme="minorHAnsi" w:hAnsiTheme="minorHAnsi" w:cstheme="minorBidi"/>
                <w:b/>
                <w:bCs/>
              </w:rPr>
              <w:t>Potential Strategies to Mitigate Risk</w:t>
            </w:r>
          </w:p>
        </w:tc>
        <w:tc>
          <w:tcPr>
            <w:tcW w:w="9810" w:type="dxa"/>
            <w:shd w:val="clear" w:color="auto" w:fill="4F81BD" w:themeFill="accent1"/>
          </w:tcPr>
          <w:p w14:paraId="0A3C15E2" w14:textId="77777777" w:rsidR="0096107C" w:rsidRPr="00B41043" w:rsidRDefault="0096107C" w:rsidP="001B51C5">
            <w:pPr>
              <w:rPr>
                <w:rFonts w:asciiTheme="minorHAnsi" w:hAnsiTheme="minorHAnsi" w:cstheme="minorHAnsi"/>
                <w:b/>
                <w:bCs/>
              </w:rPr>
            </w:pPr>
            <w:r w:rsidRPr="00B41043">
              <w:rPr>
                <w:rFonts w:asciiTheme="minorHAnsi" w:hAnsiTheme="minorHAnsi" w:cstheme="minorBidi"/>
                <w:b/>
                <w:bCs/>
              </w:rPr>
              <w:t>State Approach and Timeline</w:t>
            </w:r>
          </w:p>
        </w:tc>
      </w:tr>
      <w:tr w:rsidR="005065D4" w:rsidRPr="001B51C5" w14:paraId="31165D88" w14:textId="77777777" w:rsidTr="0074275D">
        <w:tc>
          <w:tcPr>
            <w:tcW w:w="6930" w:type="dxa"/>
          </w:tcPr>
          <w:p w14:paraId="75243F38" w14:textId="238149E9" w:rsidR="005065D4" w:rsidRDefault="005065D4" w:rsidP="00DA2575">
            <w:pPr>
              <w:widowControl w:val="0"/>
              <w:numPr>
                <w:ilvl w:val="0"/>
                <w:numId w:val="14"/>
              </w:numPr>
              <w:spacing w:before="7" w:after="240"/>
              <w:rPr>
                <w:rFonts w:eastAsia="Times New Roman"/>
              </w:rPr>
            </w:pPr>
            <w:r>
              <w:rPr>
                <w:rFonts w:eastAsia="Times New Roman"/>
              </w:rPr>
              <w:t xml:space="preserve">Create efficiencies by combining pending </w:t>
            </w:r>
            <w:r w:rsidR="009A10B7">
              <w:rPr>
                <w:rFonts w:eastAsia="Times New Roman"/>
              </w:rPr>
              <w:t>E&amp;E</w:t>
            </w:r>
            <w:r>
              <w:rPr>
                <w:rFonts w:eastAsia="Times New Roman"/>
              </w:rPr>
              <w:t xml:space="preserve"> actions:</w:t>
            </w:r>
          </w:p>
          <w:p w14:paraId="0A9A3471" w14:textId="77777777" w:rsidR="005065D4" w:rsidRPr="005065D4" w:rsidRDefault="005065D4" w:rsidP="00DA2575">
            <w:pPr>
              <w:pStyle w:val="ListParagraph"/>
              <w:widowControl w:val="0"/>
              <w:numPr>
                <w:ilvl w:val="1"/>
                <w:numId w:val="14"/>
              </w:numPr>
              <w:spacing w:before="7" w:after="240"/>
              <w:rPr>
                <w:i/>
                <w:iCs/>
              </w:rPr>
            </w:pPr>
            <w:r w:rsidRPr="005065D4">
              <w:rPr>
                <w:i/>
                <w:iCs/>
              </w:rPr>
              <w:t xml:space="preserve">Align pending verifications and changes in circumstances with renewals; </w:t>
            </w:r>
          </w:p>
          <w:p w14:paraId="58DA9882" w14:textId="77777777" w:rsidR="005065D4" w:rsidRPr="005065D4" w:rsidRDefault="005065D4" w:rsidP="00DA2575">
            <w:pPr>
              <w:pStyle w:val="ListParagraph"/>
              <w:widowControl w:val="0"/>
              <w:numPr>
                <w:ilvl w:val="1"/>
                <w:numId w:val="14"/>
              </w:numPr>
              <w:spacing w:before="7" w:after="240"/>
              <w:rPr>
                <w:i/>
                <w:iCs/>
              </w:rPr>
            </w:pPr>
            <w:r w:rsidRPr="005065D4">
              <w:rPr>
                <w:i/>
                <w:iCs/>
              </w:rPr>
              <w:t xml:space="preserve">Conduct renewals for all members of a household at the same </w:t>
            </w:r>
            <w:r w:rsidRPr="005065D4">
              <w:rPr>
                <w:i/>
                <w:iCs/>
              </w:rPr>
              <w:lastRenderedPageBreak/>
              <w:t>time, if currently not aligned; and</w:t>
            </w:r>
          </w:p>
          <w:p w14:paraId="55199BAD" w14:textId="77777777" w:rsidR="005065D4" w:rsidRPr="005065D4" w:rsidRDefault="005065D4" w:rsidP="00DA2575">
            <w:pPr>
              <w:pStyle w:val="ListParagraph"/>
              <w:widowControl w:val="0"/>
              <w:numPr>
                <w:ilvl w:val="1"/>
                <w:numId w:val="14"/>
              </w:numPr>
              <w:spacing w:before="7" w:after="240"/>
              <w:rPr>
                <w:rFonts w:eastAsia="Times New Roman"/>
              </w:rPr>
            </w:pPr>
            <w:r w:rsidRPr="005065D4">
              <w:rPr>
                <w:i/>
                <w:iCs/>
              </w:rPr>
              <w:t>Align Medicaid and SNAP renewals and leverage SNAP data</w:t>
            </w:r>
            <w:r>
              <w:rPr>
                <w:i/>
                <w:iCs/>
              </w:rPr>
              <w:t xml:space="preserve"> for Medicaid renewal</w:t>
            </w:r>
          </w:p>
        </w:tc>
        <w:tc>
          <w:tcPr>
            <w:tcW w:w="9810" w:type="dxa"/>
            <w:vMerge w:val="restart"/>
          </w:tcPr>
          <w:p w14:paraId="52761DA1" w14:textId="77777777" w:rsidR="005065D4" w:rsidRPr="00BE43F1" w:rsidRDefault="005065D4" w:rsidP="00DA2575">
            <w:pPr>
              <w:pStyle w:val="BodyText"/>
              <w:numPr>
                <w:ilvl w:val="0"/>
                <w:numId w:val="22"/>
              </w:numPr>
              <w:spacing w:before="7"/>
              <w:rPr>
                <w:i/>
                <w:iCs/>
                <w:color w:val="4172AD"/>
              </w:rPr>
            </w:pPr>
            <w:r w:rsidRPr="00BE43F1">
              <w:rPr>
                <w:i/>
                <w:iCs/>
                <w:color w:val="4172AD"/>
              </w:rPr>
              <w:lastRenderedPageBreak/>
              <w:t>How significant is this risk</w:t>
            </w:r>
            <w:r w:rsidR="00A21D65" w:rsidRPr="00BE43F1">
              <w:rPr>
                <w:i/>
                <w:iCs/>
                <w:color w:val="4172AD"/>
              </w:rPr>
              <w:t xml:space="preserve"> in your state</w:t>
            </w:r>
            <w:r w:rsidRPr="00BE43F1">
              <w:rPr>
                <w:i/>
                <w:iCs/>
                <w:color w:val="4172AD"/>
              </w:rPr>
              <w:t xml:space="preserve">? </w:t>
            </w:r>
          </w:p>
          <w:p w14:paraId="185B84E7" w14:textId="77777777" w:rsidR="005065D4" w:rsidRPr="00BE43F1" w:rsidRDefault="005065D4" w:rsidP="00DA2575">
            <w:pPr>
              <w:pStyle w:val="BodyText"/>
              <w:numPr>
                <w:ilvl w:val="0"/>
                <w:numId w:val="22"/>
              </w:numPr>
              <w:spacing w:before="7"/>
              <w:rPr>
                <w:i/>
                <w:iCs/>
                <w:color w:val="4172AD"/>
              </w:rPr>
            </w:pPr>
            <w:r w:rsidRPr="00BE43F1">
              <w:rPr>
                <w:i/>
                <w:iCs/>
                <w:color w:val="4172AD"/>
              </w:rPr>
              <w:t xml:space="preserve">Which of these strategies will the state implement to mitigate risk? </w:t>
            </w:r>
            <w:r w:rsidR="00A21D65" w:rsidRPr="00BE43F1">
              <w:rPr>
                <w:i/>
                <w:iCs/>
                <w:color w:val="4172AD"/>
              </w:rPr>
              <w:t>Are there other strategies the state will adopt?</w:t>
            </w:r>
          </w:p>
          <w:p w14:paraId="0A065C7A" w14:textId="7B54B2C4" w:rsidR="005065D4" w:rsidRPr="00C57703" w:rsidRDefault="005065D4" w:rsidP="00DA2575">
            <w:pPr>
              <w:pStyle w:val="ListParagraph"/>
              <w:widowControl w:val="0"/>
              <w:numPr>
                <w:ilvl w:val="0"/>
                <w:numId w:val="22"/>
              </w:numPr>
              <w:spacing w:before="7" w:after="240"/>
              <w:rPr>
                <w:i/>
                <w:iCs/>
                <w:color w:val="4F81BD" w:themeColor="accent1"/>
              </w:rPr>
            </w:pPr>
            <w:r w:rsidRPr="00BE43F1">
              <w:rPr>
                <w:i/>
                <w:iCs/>
                <w:color w:val="4172AD"/>
              </w:rPr>
              <w:lastRenderedPageBreak/>
              <w:t>What steps will the state need to take to operationalize th</w:t>
            </w:r>
            <w:r w:rsidR="007F7ADB" w:rsidRPr="00BE43F1">
              <w:rPr>
                <w:i/>
                <w:iCs/>
                <w:color w:val="4172AD"/>
              </w:rPr>
              <w:t>ese</w:t>
            </w:r>
            <w:r w:rsidRPr="00BE43F1">
              <w:rPr>
                <w:i/>
                <w:iCs/>
                <w:color w:val="4172AD"/>
              </w:rPr>
              <w:t xml:space="preserve"> strategies and when</w:t>
            </w:r>
          </w:p>
        </w:tc>
      </w:tr>
      <w:tr w:rsidR="005065D4" w:rsidRPr="001B51C5" w14:paraId="2601B6CF" w14:textId="77777777" w:rsidTr="6493D36F">
        <w:tc>
          <w:tcPr>
            <w:tcW w:w="6930" w:type="dxa"/>
          </w:tcPr>
          <w:p w14:paraId="420F0080" w14:textId="77777777" w:rsidR="005065D4" w:rsidRPr="001B51C5" w:rsidRDefault="005065D4" w:rsidP="00DA2575">
            <w:pPr>
              <w:widowControl w:val="0"/>
              <w:numPr>
                <w:ilvl w:val="0"/>
                <w:numId w:val="14"/>
              </w:numPr>
              <w:spacing w:before="7" w:after="240"/>
              <w:rPr>
                <w:b/>
                <w:bCs/>
              </w:rPr>
            </w:pPr>
            <w:r w:rsidRPr="001B51C5">
              <w:rPr>
                <w:rFonts w:eastAsia="Times New Roman"/>
              </w:rPr>
              <w:lastRenderedPageBreak/>
              <w:t xml:space="preserve">Redistribute work across states, regional, and county staff </w:t>
            </w:r>
          </w:p>
        </w:tc>
        <w:tc>
          <w:tcPr>
            <w:tcW w:w="9810" w:type="dxa"/>
            <w:vMerge/>
          </w:tcPr>
          <w:p w14:paraId="5492FD06" w14:textId="77777777" w:rsidR="005065D4" w:rsidRPr="001B51C5" w:rsidRDefault="005065D4" w:rsidP="00DA2575">
            <w:pPr>
              <w:pStyle w:val="ListParagraph"/>
              <w:widowControl w:val="0"/>
              <w:numPr>
                <w:ilvl w:val="0"/>
                <w:numId w:val="22"/>
              </w:numPr>
              <w:spacing w:before="7" w:after="240"/>
            </w:pPr>
          </w:p>
        </w:tc>
      </w:tr>
      <w:tr w:rsidR="005065D4" w:rsidRPr="001B51C5" w14:paraId="4A3A1602" w14:textId="77777777" w:rsidTr="6493D36F">
        <w:tc>
          <w:tcPr>
            <w:tcW w:w="6930" w:type="dxa"/>
          </w:tcPr>
          <w:p w14:paraId="2ACEDEB2" w14:textId="77777777" w:rsidR="005065D4" w:rsidRPr="001B51C5" w:rsidRDefault="005065D4" w:rsidP="00DA2575">
            <w:pPr>
              <w:widowControl w:val="0"/>
              <w:numPr>
                <w:ilvl w:val="0"/>
                <w:numId w:val="14"/>
              </w:numPr>
              <w:spacing w:before="7" w:after="240"/>
              <w:rPr>
                <w:rFonts w:eastAsia="Times New Roman"/>
              </w:rPr>
            </w:pPr>
            <w:r w:rsidRPr="001B51C5">
              <w:rPr>
                <w:rFonts w:eastAsia="Times New Roman"/>
              </w:rPr>
              <w:t>Implement “overflow” workforce strategies that redirect pending applications/renewals to centralized unit or regional/county office that has available capacity</w:t>
            </w:r>
          </w:p>
        </w:tc>
        <w:tc>
          <w:tcPr>
            <w:tcW w:w="9810" w:type="dxa"/>
            <w:vMerge/>
          </w:tcPr>
          <w:p w14:paraId="5D420EAE" w14:textId="77777777" w:rsidR="005065D4" w:rsidRPr="001B51C5" w:rsidRDefault="005065D4" w:rsidP="001B51C5">
            <w:pPr>
              <w:widowControl w:val="0"/>
              <w:spacing w:before="7" w:after="240"/>
              <w:ind w:firstLine="60"/>
            </w:pPr>
          </w:p>
        </w:tc>
      </w:tr>
      <w:tr w:rsidR="005065D4" w:rsidRPr="001B51C5" w14:paraId="7DD3B627" w14:textId="77777777" w:rsidTr="6493D36F">
        <w:tc>
          <w:tcPr>
            <w:tcW w:w="6930" w:type="dxa"/>
          </w:tcPr>
          <w:p w14:paraId="316B1AAD" w14:textId="77777777" w:rsidR="005065D4" w:rsidRPr="001B51C5" w:rsidRDefault="005065D4" w:rsidP="00DA2575">
            <w:pPr>
              <w:widowControl w:val="0"/>
              <w:numPr>
                <w:ilvl w:val="0"/>
                <w:numId w:val="14"/>
              </w:numPr>
              <w:spacing w:before="7" w:after="240"/>
              <w:rPr>
                <w:b/>
                <w:bCs/>
              </w:rPr>
            </w:pPr>
            <w:r>
              <w:rPr>
                <w:rFonts w:eastAsia="Times New Roman"/>
              </w:rPr>
              <w:t>Identify specific roles that additional full-time employees—</w:t>
            </w:r>
            <w:r w:rsidRPr="00887416">
              <w:rPr>
                <w:rFonts w:eastAsia="Times New Roman"/>
              </w:rPr>
              <w:t>contractors, vendors, or other temporary workers</w:t>
            </w:r>
            <w:r>
              <w:rPr>
                <w:rFonts w:eastAsia="Times New Roman"/>
              </w:rPr>
              <w:t>—</w:t>
            </w:r>
            <w:r w:rsidRPr="00887416">
              <w:rPr>
                <w:rFonts w:eastAsia="Times New Roman"/>
              </w:rPr>
              <w:t xml:space="preserve"> can play in supporting unwinding efforts</w:t>
            </w:r>
          </w:p>
        </w:tc>
        <w:tc>
          <w:tcPr>
            <w:tcW w:w="9810" w:type="dxa"/>
            <w:vMerge/>
          </w:tcPr>
          <w:p w14:paraId="74EB316A" w14:textId="77777777" w:rsidR="005065D4" w:rsidRPr="001B51C5" w:rsidRDefault="005065D4" w:rsidP="001B51C5">
            <w:pPr>
              <w:widowControl w:val="0"/>
              <w:spacing w:before="7" w:after="240"/>
              <w:ind w:firstLine="60"/>
            </w:pPr>
          </w:p>
        </w:tc>
      </w:tr>
      <w:tr w:rsidR="005065D4" w:rsidRPr="001B51C5" w14:paraId="1184155B" w14:textId="77777777" w:rsidTr="6493D36F">
        <w:tc>
          <w:tcPr>
            <w:tcW w:w="6930" w:type="dxa"/>
          </w:tcPr>
          <w:p w14:paraId="3DFFDFBE" w14:textId="77777777" w:rsidR="005065D4" w:rsidRPr="004C5A49" w:rsidRDefault="005065D4" w:rsidP="00DA2575">
            <w:pPr>
              <w:pStyle w:val="ListParagraph"/>
              <w:numPr>
                <w:ilvl w:val="0"/>
                <w:numId w:val="14"/>
              </w:numPr>
              <w:spacing w:line="259" w:lineRule="auto"/>
              <w:rPr>
                <w:rFonts w:eastAsia="Times New Roman"/>
              </w:rPr>
            </w:pPr>
            <w:r w:rsidRPr="00C41106">
              <w:rPr>
                <w:rFonts w:eastAsia="Times New Roman"/>
              </w:rPr>
              <w:t>Create specialized units to process complex/time-consuming applications/redeterminations (e.g., evaluating self-employment income)</w:t>
            </w:r>
          </w:p>
        </w:tc>
        <w:tc>
          <w:tcPr>
            <w:tcW w:w="9810" w:type="dxa"/>
            <w:vMerge/>
          </w:tcPr>
          <w:p w14:paraId="1C375351" w14:textId="77777777" w:rsidR="005065D4" w:rsidRPr="001B51C5" w:rsidRDefault="005065D4" w:rsidP="001B51C5">
            <w:pPr>
              <w:widowControl w:val="0"/>
              <w:spacing w:before="7" w:after="240"/>
              <w:ind w:firstLine="60"/>
            </w:pPr>
          </w:p>
        </w:tc>
      </w:tr>
      <w:tr w:rsidR="005065D4" w:rsidRPr="001B51C5" w14:paraId="6DD0B893" w14:textId="77777777" w:rsidTr="6493D36F">
        <w:tc>
          <w:tcPr>
            <w:tcW w:w="6930" w:type="dxa"/>
          </w:tcPr>
          <w:p w14:paraId="1334101D" w14:textId="3B580E61" w:rsidR="005065D4" w:rsidRPr="004C5A49" w:rsidRDefault="005065D4" w:rsidP="00DA2575">
            <w:pPr>
              <w:pStyle w:val="ListParagraph"/>
              <w:numPr>
                <w:ilvl w:val="0"/>
                <w:numId w:val="14"/>
              </w:numPr>
              <w:spacing w:line="259" w:lineRule="auto"/>
              <w:rPr>
                <w:rFonts w:eastAsia="Times New Roman"/>
              </w:rPr>
            </w:pPr>
            <w:r w:rsidRPr="00887416">
              <w:rPr>
                <w:rFonts w:eastAsia="Times New Roman"/>
              </w:rPr>
              <w:t xml:space="preserve">Become </w:t>
            </w:r>
            <w:r w:rsidR="000C0245" w:rsidRPr="000C0245">
              <w:rPr>
                <w:rFonts w:eastAsia="Times New Roman"/>
              </w:rPr>
              <w:t xml:space="preserve">a Medicaid and CHIP Eligibility Determination State if you are an Assessment State with an FFM or SBM on the Federal Platform </w:t>
            </w:r>
            <w:r w:rsidRPr="00887416">
              <w:rPr>
                <w:rFonts w:eastAsia="Times New Roman"/>
              </w:rPr>
              <w:t xml:space="preserve">to reduce workforce burden </w:t>
            </w:r>
          </w:p>
        </w:tc>
        <w:tc>
          <w:tcPr>
            <w:tcW w:w="9810" w:type="dxa"/>
            <w:vMerge/>
          </w:tcPr>
          <w:p w14:paraId="4F5AEA06" w14:textId="77777777" w:rsidR="005065D4" w:rsidRPr="001B51C5" w:rsidRDefault="005065D4" w:rsidP="001B51C5">
            <w:pPr>
              <w:widowControl w:val="0"/>
              <w:spacing w:before="7" w:after="240"/>
              <w:ind w:firstLine="60"/>
            </w:pPr>
          </w:p>
        </w:tc>
      </w:tr>
      <w:tr w:rsidR="00A21D65" w:rsidRPr="001B51C5" w14:paraId="1964743A" w14:textId="77777777" w:rsidTr="6493D36F">
        <w:tc>
          <w:tcPr>
            <w:tcW w:w="6930" w:type="dxa"/>
          </w:tcPr>
          <w:p w14:paraId="7B45DBC8" w14:textId="77777777" w:rsidR="00A21D65" w:rsidRPr="00887416" w:rsidRDefault="00A21D65" w:rsidP="00DA2575">
            <w:pPr>
              <w:pStyle w:val="ListParagraph"/>
              <w:numPr>
                <w:ilvl w:val="0"/>
                <w:numId w:val="14"/>
              </w:numPr>
              <w:spacing w:line="259" w:lineRule="auto"/>
              <w:rPr>
                <w:rFonts w:eastAsia="Times New Roman"/>
              </w:rPr>
            </w:pPr>
            <w:r w:rsidRPr="001B51C5">
              <w:rPr>
                <w:rFonts w:eastAsia="Times New Roman"/>
              </w:rPr>
              <w:t>Provide training and guidance to state workforce on changing policies</w:t>
            </w:r>
            <w:r w:rsidR="00035D22">
              <w:rPr>
                <w:rFonts w:eastAsia="Times New Roman"/>
              </w:rPr>
              <w:t xml:space="preserve"> </w:t>
            </w:r>
          </w:p>
        </w:tc>
        <w:tc>
          <w:tcPr>
            <w:tcW w:w="9810" w:type="dxa"/>
            <w:vMerge/>
          </w:tcPr>
          <w:p w14:paraId="420D7594" w14:textId="77777777" w:rsidR="00A21D65" w:rsidRPr="001B51C5" w:rsidRDefault="00A21D65" w:rsidP="001B51C5">
            <w:pPr>
              <w:widowControl w:val="0"/>
              <w:spacing w:before="7" w:after="240"/>
              <w:ind w:firstLine="60"/>
            </w:pPr>
          </w:p>
        </w:tc>
      </w:tr>
      <w:tr w:rsidR="00035D22" w:rsidRPr="001B51C5" w14:paraId="3A88C77A" w14:textId="77777777" w:rsidTr="6493D36F">
        <w:tc>
          <w:tcPr>
            <w:tcW w:w="6930" w:type="dxa"/>
          </w:tcPr>
          <w:p w14:paraId="3DCB9728" w14:textId="77777777" w:rsidR="00035D22" w:rsidRPr="001B51C5" w:rsidRDefault="00035D22" w:rsidP="00DA2575">
            <w:pPr>
              <w:pStyle w:val="ListParagraph"/>
              <w:numPr>
                <w:ilvl w:val="0"/>
                <w:numId w:val="14"/>
              </w:numPr>
              <w:spacing w:line="259" w:lineRule="auto"/>
              <w:rPr>
                <w:rFonts w:eastAsia="Times New Roman"/>
              </w:rPr>
            </w:pPr>
            <w:r>
              <w:rPr>
                <w:rFonts w:eastAsia="Times New Roman"/>
              </w:rPr>
              <w:t>Create salary increases for high performance based on training certification in new policies, high volume of case processing, or processing of more complex cases as a hiring/retention incentive</w:t>
            </w:r>
          </w:p>
        </w:tc>
        <w:tc>
          <w:tcPr>
            <w:tcW w:w="9810" w:type="dxa"/>
            <w:vMerge/>
          </w:tcPr>
          <w:p w14:paraId="4672BB50" w14:textId="77777777" w:rsidR="00035D22" w:rsidRPr="001B51C5" w:rsidRDefault="00035D22" w:rsidP="001B51C5">
            <w:pPr>
              <w:widowControl w:val="0"/>
              <w:spacing w:before="7" w:after="240"/>
              <w:ind w:firstLine="60"/>
            </w:pPr>
          </w:p>
        </w:tc>
      </w:tr>
      <w:tr w:rsidR="00A21D65" w:rsidRPr="001B51C5" w14:paraId="0C1D2560" w14:textId="77777777" w:rsidTr="6493D36F">
        <w:trPr>
          <w:trHeight w:val="413"/>
        </w:trPr>
        <w:tc>
          <w:tcPr>
            <w:tcW w:w="6930" w:type="dxa"/>
          </w:tcPr>
          <w:p w14:paraId="2C595DE0" w14:textId="77777777" w:rsidR="00A21D65" w:rsidRPr="001B51C5" w:rsidRDefault="00A21D65" w:rsidP="00DA2575">
            <w:pPr>
              <w:widowControl w:val="0"/>
              <w:numPr>
                <w:ilvl w:val="0"/>
                <w:numId w:val="14"/>
              </w:numPr>
              <w:spacing w:before="7" w:after="240"/>
              <w:rPr>
                <w:b/>
                <w:bCs/>
              </w:rPr>
            </w:pPr>
            <w:r w:rsidRPr="001B51C5">
              <w:rPr>
                <w:rFonts w:eastAsia="Times New Roman"/>
              </w:rPr>
              <w:t>Update E&amp;E manuals so they can serve as ongoing resources</w:t>
            </w:r>
          </w:p>
        </w:tc>
        <w:tc>
          <w:tcPr>
            <w:tcW w:w="9810" w:type="dxa"/>
            <w:vMerge/>
          </w:tcPr>
          <w:p w14:paraId="7B7329F2" w14:textId="77777777" w:rsidR="00A21D65" w:rsidRPr="001B51C5" w:rsidRDefault="00A21D65" w:rsidP="001B51C5">
            <w:pPr>
              <w:widowControl w:val="0"/>
              <w:spacing w:before="7" w:after="240"/>
              <w:ind w:firstLine="60"/>
            </w:pPr>
          </w:p>
        </w:tc>
      </w:tr>
      <w:tr w:rsidR="00A21D65" w:rsidRPr="001B51C5" w14:paraId="6FF738F0" w14:textId="77777777" w:rsidTr="6493D36F">
        <w:trPr>
          <w:trHeight w:val="413"/>
        </w:trPr>
        <w:tc>
          <w:tcPr>
            <w:tcW w:w="6930" w:type="dxa"/>
          </w:tcPr>
          <w:p w14:paraId="552F7C1C" w14:textId="7B836F42" w:rsidR="00A21D65" w:rsidRPr="001B51C5" w:rsidRDefault="00A21D65" w:rsidP="00DA2575">
            <w:pPr>
              <w:widowControl w:val="0"/>
              <w:numPr>
                <w:ilvl w:val="0"/>
                <w:numId w:val="14"/>
              </w:numPr>
              <w:spacing w:before="7" w:after="240"/>
              <w:rPr>
                <w:b/>
                <w:bCs/>
              </w:rPr>
            </w:pPr>
            <w:r w:rsidRPr="0018139D">
              <w:rPr>
                <w:rFonts w:eastAsia="Times New Roman"/>
              </w:rPr>
              <w:t xml:space="preserve">Communicate policy changes to other entities that partner with </w:t>
            </w:r>
            <w:r>
              <w:rPr>
                <w:rFonts w:eastAsia="Times New Roman"/>
              </w:rPr>
              <w:t xml:space="preserve">the </w:t>
            </w:r>
            <w:r w:rsidR="009A10B7">
              <w:rPr>
                <w:rFonts w:eastAsia="Times New Roman"/>
              </w:rPr>
              <w:t xml:space="preserve">E&amp;E </w:t>
            </w:r>
            <w:r w:rsidRPr="0018139D">
              <w:rPr>
                <w:rFonts w:eastAsia="Times New Roman"/>
              </w:rPr>
              <w:t xml:space="preserve">workforce (e.g., managed care organizations, </w:t>
            </w:r>
            <w:r w:rsidR="00451236">
              <w:rPr>
                <w:rFonts w:eastAsia="Times New Roman"/>
              </w:rPr>
              <w:t>N</w:t>
            </w:r>
            <w:r w:rsidRPr="0018139D">
              <w:rPr>
                <w:rFonts w:eastAsia="Times New Roman"/>
              </w:rPr>
              <w:t>avigators</w:t>
            </w:r>
            <w:r>
              <w:rPr>
                <w:rFonts w:eastAsia="Times New Roman"/>
              </w:rPr>
              <w:t>, delegated fair hearing agencies</w:t>
            </w:r>
            <w:r w:rsidRPr="0018139D">
              <w:rPr>
                <w:rFonts w:eastAsia="Times New Roman"/>
              </w:rPr>
              <w:t>) through a variety of methods (e.g., routine updates to Medicaid/CHIP agency websites, mailings, agenda items during standing meetings)</w:t>
            </w:r>
            <w:r w:rsidR="00E73D99">
              <w:rPr>
                <w:rFonts w:eastAsia="Times New Roman"/>
              </w:rPr>
              <w:t xml:space="preserve"> </w:t>
            </w:r>
          </w:p>
        </w:tc>
        <w:tc>
          <w:tcPr>
            <w:tcW w:w="9810" w:type="dxa"/>
            <w:vMerge/>
          </w:tcPr>
          <w:p w14:paraId="19B92CC5" w14:textId="77777777" w:rsidR="00A21D65" w:rsidRPr="001B51C5" w:rsidRDefault="00A21D65" w:rsidP="001B51C5">
            <w:pPr>
              <w:widowControl w:val="0"/>
              <w:spacing w:before="7" w:after="240"/>
              <w:ind w:firstLine="60"/>
            </w:pPr>
          </w:p>
        </w:tc>
      </w:tr>
      <w:tr w:rsidR="005065D4" w:rsidRPr="001B51C5" w14:paraId="0F08E72E" w14:textId="77777777" w:rsidTr="6493D36F">
        <w:trPr>
          <w:trHeight w:val="413"/>
        </w:trPr>
        <w:tc>
          <w:tcPr>
            <w:tcW w:w="6930" w:type="dxa"/>
          </w:tcPr>
          <w:p w14:paraId="7A5031F1" w14:textId="2DDD2063" w:rsidR="005065D4" w:rsidRPr="001B51C5" w:rsidRDefault="005065D4" w:rsidP="00DA2575">
            <w:pPr>
              <w:widowControl w:val="0"/>
              <w:numPr>
                <w:ilvl w:val="0"/>
                <w:numId w:val="14"/>
              </w:numPr>
              <w:spacing w:before="7" w:after="240"/>
              <w:rPr>
                <w:b/>
                <w:bCs/>
              </w:rPr>
            </w:pPr>
            <w:r w:rsidRPr="001B51C5">
              <w:rPr>
                <w:b/>
                <w:bCs/>
              </w:rPr>
              <w:lastRenderedPageBreak/>
              <w:t>Other:</w:t>
            </w:r>
            <w:r w:rsidR="00E73D99">
              <w:rPr>
                <w:b/>
                <w:bCs/>
              </w:rPr>
              <w:t xml:space="preserve"> </w:t>
            </w:r>
          </w:p>
        </w:tc>
        <w:tc>
          <w:tcPr>
            <w:tcW w:w="9810" w:type="dxa"/>
            <w:vMerge/>
          </w:tcPr>
          <w:p w14:paraId="7198D3F9" w14:textId="77777777" w:rsidR="005065D4" w:rsidRPr="001B51C5" w:rsidRDefault="005065D4" w:rsidP="001B51C5">
            <w:pPr>
              <w:widowControl w:val="0"/>
              <w:spacing w:before="7" w:after="240"/>
              <w:ind w:firstLine="60"/>
            </w:pPr>
          </w:p>
        </w:tc>
      </w:tr>
    </w:tbl>
    <w:p w14:paraId="63997C97" w14:textId="77777777" w:rsidR="001B51C5" w:rsidRPr="001B51C5" w:rsidRDefault="001B51C5" w:rsidP="001B51C5">
      <w:pPr>
        <w:rPr>
          <w:rFonts w:asciiTheme="majorHAnsi" w:hAnsiTheme="majorHAnsi" w:cstheme="minorHAnsi"/>
          <w:b/>
          <w:bCs/>
          <w:i/>
          <w:iCs/>
          <w:color w:val="365F91" w:themeColor="accent1" w:themeShade="BF"/>
          <w:sz w:val="28"/>
          <w:szCs w:val="28"/>
        </w:rPr>
      </w:pPr>
    </w:p>
    <w:p w14:paraId="124DA57E" w14:textId="77777777" w:rsidR="001B51C5" w:rsidRPr="001B51C5" w:rsidRDefault="001B51C5" w:rsidP="001B51C5">
      <w:pPr>
        <w:rPr>
          <w:rFonts w:asciiTheme="majorHAnsi" w:hAnsiTheme="majorHAnsi" w:cstheme="minorHAnsi"/>
          <w:b/>
          <w:bCs/>
          <w:i/>
          <w:iCs/>
          <w:color w:val="365F91" w:themeColor="accent1" w:themeShade="BF"/>
          <w:sz w:val="28"/>
          <w:szCs w:val="28"/>
        </w:rPr>
      </w:pPr>
    </w:p>
    <w:p w14:paraId="47D2972F" w14:textId="3366E407" w:rsidR="00A50A73" w:rsidRPr="00F40A19" w:rsidRDefault="00A50A73" w:rsidP="00DA2575">
      <w:pPr>
        <w:pStyle w:val="ListParagraph"/>
        <w:numPr>
          <w:ilvl w:val="0"/>
          <w:numId w:val="13"/>
        </w:numPr>
        <w:rPr>
          <w:rFonts w:asciiTheme="minorHAnsi" w:hAnsiTheme="minorHAnsi" w:cstheme="minorHAnsi"/>
          <w:b/>
          <w:bCs/>
        </w:rPr>
      </w:pPr>
      <w:r w:rsidRPr="00C57703">
        <w:rPr>
          <w:rFonts w:asciiTheme="minorHAnsi" w:hAnsiTheme="minorHAnsi" w:cstheme="minorHAnsi"/>
          <w:b/>
          <w:bCs/>
        </w:rPr>
        <w:t xml:space="preserve">Key risk: </w:t>
      </w:r>
      <w:r w:rsidRPr="00A50A73">
        <w:rPr>
          <w:rFonts w:asciiTheme="minorHAnsi" w:hAnsiTheme="minorHAnsi" w:cstheme="minorHAnsi"/>
          <w:b/>
          <w:bCs/>
        </w:rPr>
        <w:t xml:space="preserve">Lack of timely information to </w:t>
      </w:r>
      <w:r w:rsidR="000A31D2">
        <w:rPr>
          <w:rFonts w:asciiTheme="minorHAnsi" w:hAnsiTheme="minorHAnsi" w:cstheme="minorHAnsi"/>
          <w:b/>
          <w:bCs/>
        </w:rPr>
        <w:t xml:space="preserve">conduct appropriate oversight and </w:t>
      </w:r>
      <w:r w:rsidRPr="00A50A73">
        <w:rPr>
          <w:rFonts w:asciiTheme="minorHAnsi" w:hAnsiTheme="minorHAnsi" w:cstheme="minorHAnsi"/>
          <w:b/>
          <w:bCs/>
        </w:rPr>
        <w:t>course correct as issue</w:t>
      </w:r>
      <w:r w:rsidR="00AB0D94">
        <w:rPr>
          <w:rFonts w:asciiTheme="minorHAnsi" w:hAnsiTheme="minorHAnsi" w:cstheme="minorHAnsi"/>
          <w:b/>
          <w:bCs/>
        </w:rPr>
        <w:t>s</w:t>
      </w:r>
      <w:r w:rsidRPr="00A50A73">
        <w:rPr>
          <w:rFonts w:asciiTheme="minorHAnsi" w:hAnsiTheme="minorHAnsi" w:cstheme="minorHAnsi"/>
          <w:b/>
          <w:bCs/>
        </w:rPr>
        <w:t xml:space="preserve"> arise</w:t>
      </w:r>
      <w:r w:rsidR="00E73D99">
        <w:rPr>
          <w:rFonts w:asciiTheme="minorHAnsi" w:hAnsiTheme="minorHAnsi" w:cstheme="minorHAnsi"/>
          <w:b/>
          <w:bCs/>
        </w:rPr>
        <w:t xml:space="preserve"> </w:t>
      </w:r>
    </w:p>
    <w:p w14:paraId="74FEB9B1" w14:textId="77777777" w:rsidR="001B51C5" w:rsidRPr="00F40A19" w:rsidRDefault="001B51C5" w:rsidP="00F40A19">
      <w:pPr>
        <w:pStyle w:val="ListParagraph"/>
      </w:pPr>
    </w:p>
    <w:tbl>
      <w:tblPr>
        <w:tblStyle w:val="TableGrid"/>
        <w:tblW w:w="16470" w:type="dxa"/>
        <w:tblInd w:w="715" w:type="dxa"/>
        <w:tblLook w:val="04A0" w:firstRow="1" w:lastRow="0" w:firstColumn="1" w:lastColumn="0" w:noHBand="0" w:noVBand="1"/>
      </w:tblPr>
      <w:tblGrid>
        <w:gridCol w:w="6930"/>
        <w:gridCol w:w="9540"/>
      </w:tblGrid>
      <w:tr w:rsidR="00B41043" w:rsidRPr="00B41043" w14:paraId="3938AA4A" w14:textId="77777777" w:rsidTr="6493D36F">
        <w:trPr>
          <w:trHeight w:val="413"/>
          <w:tblHeader/>
        </w:trPr>
        <w:tc>
          <w:tcPr>
            <w:tcW w:w="6930" w:type="dxa"/>
            <w:shd w:val="clear" w:color="auto" w:fill="4F81BD" w:themeFill="accent1"/>
          </w:tcPr>
          <w:p w14:paraId="6B26B069" w14:textId="77777777" w:rsidR="0096107C" w:rsidRPr="00B41043" w:rsidRDefault="00A50A73" w:rsidP="001B51C5">
            <w:pPr>
              <w:rPr>
                <w:rFonts w:asciiTheme="minorHAnsi" w:hAnsiTheme="minorHAnsi" w:cstheme="minorHAnsi"/>
                <w:b/>
                <w:bCs/>
              </w:rPr>
            </w:pPr>
            <w:r w:rsidRPr="00B41043">
              <w:rPr>
                <w:rFonts w:asciiTheme="minorHAnsi" w:hAnsiTheme="minorHAnsi" w:cstheme="minorBidi"/>
                <w:b/>
                <w:bCs/>
              </w:rPr>
              <w:t>Potential Strategies to Mitigate Risk</w:t>
            </w:r>
          </w:p>
        </w:tc>
        <w:tc>
          <w:tcPr>
            <w:tcW w:w="9540" w:type="dxa"/>
            <w:shd w:val="clear" w:color="auto" w:fill="4F81BD" w:themeFill="accent1"/>
          </w:tcPr>
          <w:p w14:paraId="464AA8C0" w14:textId="77777777" w:rsidR="0096107C" w:rsidRPr="00B41043" w:rsidRDefault="0096107C" w:rsidP="001B51C5">
            <w:pPr>
              <w:rPr>
                <w:rFonts w:asciiTheme="minorHAnsi" w:hAnsiTheme="minorHAnsi" w:cstheme="minorHAnsi"/>
                <w:b/>
                <w:bCs/>
              </w:rPr>
            </w:pPr>
            <w:r w:rsidRPr="00B41043">
              <w:rPr>
                <w:rFonts w:asciiTheme="minorHAnsi" w:hAnsiTheme="minorHAnsi" w:cstheme="minorBidi"/>
                <w:b/>
                <w:bCs/>
              </w:rPr>
              <w:t>State Approach and Timeline</w:t>
            </w:r>
          </w:p>
        </w:tc>
      </w:tr>
      <w:tr w:rsidR="00C57703" w:rsidRPr="001B51C5" w14:paraId="7EE41BB3" w14:textId="77777777" w:rsidTr="0074275D">
        <w:trPr>
          <w:trHeight w:val="863"/>
        </w:trPr>
        <w:tc>
          <w:tcPr>
            <w:tcW w:w="6930" w:type="dxa"/>
          </w:tcPr>
          <w:p w14:paraId="4DE998DF" w14:textId="77777777" w:rsidR="006A4AB8" w:rsidRDefault="006A4AB8" w:rsidP="00DA2575">
            <w:pPr>
              <w:numPr>
                <w:ilvl w:val="0"/>
                <w:numId w:val="15"/>
              </w:numPr>
              <w:spacing w:line="259" w:lineRule="auto"/>
              <w:ind w:left="345" w:hanging="345"/>
              <w:contextualSpacing/>
              <w:rPr>
                <w:rFonts w:eastAsia="Times New Roman"/>
              </w:rPr>
            </w:pPr>
            <w:r w:rsidRPr="001B51C5">
              <w:rPr>
                <w:rFonts w:eastAsia="Times New Roman"/>
              </w:rPr>
              <w:t>Identify a centralized team responsible for tracking emerging issues and needed solutions</w:t>
            </w:r>
          </w:p>
          <w:p w14:paraId="159A8180" w14:textId="77777777" w:rsidR="00242E83" w:rsidRPr="001B51C5" w:rsidRDefault="00242E83" w:rsidP="006A4AB8">
            <w:pPr>
              <w:spacing w:line="259" w:lineRule="auto"/>
              <w:contextualSpacing/>
              <w:rPr>
                <w:rFonts w:eastAsia="Times New Roman"/>
              </w:rPr>
            </w:pPr>
          </w:p>
        </w:tc>
        <w:tc>
          <w:tcPr>
            <w:tcW w:w="9540" w:type="dxa"/>
            <w:vMerge w:val="restart"/>
          </w:tcPr>
          <w:p w14:paraId="6366C0D9" w14:textId="77777777" w:rsidR="00C57703" w:rsidRPr="00BE43F1" w:rsidRDefault="00C57703" w:rsidP="00DA2575">
            <w:pPr>
              <w:pStyle w:val="BodyText"/>
              <w:numPr>
                <w:ilvl w:val="0"/>
                <w:numId w:val="23"/>
              </w:numPr>
              <w:spacing w:before="7"/>
              <w:rPr>
                <w:i/>
                <w:iCs/>
                <w:color w:val="4172AD"/>
              </w:rPr>
            </w:pPr>
            <w:r w:rsidRPr="00BE43F1">
              <w:rPr>
                <w:i/>
                <w:iCs/>
                <w:color w:val="4172AD"/>
              </w:rPr>
              <w:t>How significant is this risk</w:t>
            </w:r>
            <w:r w:rsidR="00A21D65" w:rsidRPr="00BE43F1">
              <w:rPr>
                <w:i/>
                <w:iCs/>
                <w:color w:val="4172AD"/>
              </w:rPr>
              <w:t xml:space="preserve"> in your state</w:t>
            </w:r>
            <w:r w:rsidRPr="00BE43F1">
              <w:rPr>
                <w:i/>
                <w:iCs/>
                <w:color w:val="4172AD"/>
              </w:rPr>
              <w:t xml:space="preserve">? </w:t>
            </w:r>
          </w:p>
          <w:p w14:paraId="78012B42" w14:textId="77777777" w:rsidR="00C57703" w:rsidRPr="00BE43F1" w:rsidRDefault="00C57703" w:rsidP="00DA2575">
            <w:pPr>
              <w:pStyle w:val="BodyText"/>
              <w:numPr>
                <w:ilvl w:val="0"/>
                <w:numId w:val="23"/>
              </w:numPr>
              <w:spacing w:before="7"/>
              <w:rPr>
                <w:i/>
                <w:iCs/>
                <w:color w:val="4172AD"/>
              </w:rPr>
            </w:pPr>
            <w:r w:rsidRPr="00BE43F1">
              <w:rPr>
                <w:i/>
                <w:iCs/>
                <w:color w:val="4172AD"/>
              </w:rPr>
              <w:t xml:space="preserve">Which of these strategies will the state implement to mitigate risk? </w:t>
            </w:r>
            <w:r w:rsidR="00A21D65" w:rsidRPr="00BE43F1">
              <w:rPr>
                <w:i/>
                <w:iCs/>
                <w:color w:val="4172AD"/>
              </w:rPr>
              <w:t>Are there other strategies the state will adopt?</w:t>
            </w:r>
          </w:p>
          <w:p w14:paraId="5FE5686E" w14:textId="64855A2F" w:rsidR="00C57703" w:rsidRPr="00BE43F1" w:rsidRDefault="00C57703" w:rsidP="00DA2575">
            <w:pPr>
              <w:pStyle w:val="ListParagraph"/>
              <w:widowControl w:val="0"/>
              <w:numPr>
                <w:ilvl w:val="0"/>
                <w:numId w:val="23"/>
              </w:numPr>
              <w:spacing w:before="7" w:after="240"/>
              <w:rPr>
                <w:color w:val="4172AD"/>
              </w:rPr>
            </w:pPr>
            <w:r w:rsidRPr="00BE43F1">
              <w:rPr>
                <w:i/>
                <w:iCs/>
                <w:color w:val="4172AD"/>
              </w:rPr>
              <w:t>What steps will the state need to take to operationalize th</w:t>
            </w:r>
            <w:r w:rsidR="007F7ADB" w:rsidRPr="00BE43F1">
              <w:rPr>
                <w:i/>
                <w:iCs/>
                <w:color w:val="4172AD"/>
              </w:rPr>
              <w:t>ese</w:t>
            </w:r>
            <w:r w:rsidRPr="00BE43F1">
              <w:rPr>
                <w:i/>
                <w:iCs/>
                <w:color w:val="4172AD"/>
              </w:rPr>
              <w:t xml:space="preserve"> strategies and when?</w:t>
            </w:r>
          </w:p>
        </w:tc>
      </w:tr>
      <w:tr w:rsidR="00C57703" w:rsidRPr="001B51C5" w14:paraId="578DF2AB" w14:textId="77777777" w:rsidTr="6493D36F">
        <w:tc>
          <w:tcPr>
            <w:tcW w:w="6930" w:type="dxa"/>
          </w:tcPr>
          <w:p w14:paraId="100796C5" w14:textId="77777777" w:rsidR="00C57703" w:rsidRPr="001B51C5" w:rsidRDefault="00C57703" w:rsidP="00DA2575">
            <w:pPr>
              <w:widowControl w:val="0"/>
              <w:numPr>
                <w:ilvl w:val="0"/>
                <w:numId w:val="15"/>
              </w:numPr>
              <w:spacing w:before="7" w:after="240"/>
              <w:ind w:left="345" w:hanging="345"/>
              <w:rPr>
                <w:b/>
                <w:bCs/>
              </w:rPr>
            </w:pPr>
            <w:r w:rsidRPr="001B51C5">
              <w:rPr>
                <w:rFonts w:eastAsia="Times New Roman"/>
              </w:rPr>
              <w:t>Create tracking and management tools, data reports, and/or dashboards to monitor case volume, renewal rates, and workforce needs</w:t>
            </w:r>
          </w:p>
        </w:tc>
        <w:tc>
          <w:tcPr>
            <w:tcW w:w="9540" w:type="dxa"/>
            <w:vMerge/>
          </w:tcPr>
          <w:p w14:paraId="0E2FB70C" w14:textId="77777777" w:rsidR="00C57703" w:rsidRPr="001B51C5" w:rsidRDefault="00C57703" w:rsidP="001B51C5">
            <w:pPr>
              <w:widowControl w:val="0"/>
              <w:spacing w:before="7" w:after="240"/>
              <w:ind w:firstLine="60"/>
            </w:pPr>
          </w:p>
        </w:tc>
      </w:tr>
      <w:tr w:rsidR="00C57703" w:rsidRPr="001B51C5" w14:paraId="56CE2BAD" w14:textId="77777777" w:rsidTr="6493D36F">
        <w:tc>
          <w:tcPr>
            <w:tcW w:w="6930" w:type="dxa"/>
          </w:tcPr>
          <w:p w14:paraId="7BA36382" w14:textId="77777777" w:rsidR="00C57703" w:rsidRPr="001B51C5" w:rsidRDefault="00C57703" w:rsidP="00DA2575">
            <w:pPr>
              <w:widowControl w:val="0"/>
              <w:numPr>
                <w:ilvl w:val="0"/>
                <w:numId w:val="15"/>
              </w:numPr>
              <w:spacing w:before="7" w:after="240"/>
              <w:ind w:left="345" w:hanging="345"/>
              <w:rPr>
                <w:rFonts w:eastAsia="Times New Roman"/>
              </w:rPr>
            </w:pPr>
            <w:r w:rsidRPr="001B51C5">
              <w:rPr>
                <w:rFonts w:eastAsia="Times New Roman"/>
              </w:rPr>
              <w:t>Conduct diagnostics and ongoing monitoring by modality</w:t>
            </w:r>
          </w:p>
        </w:tc>
        <w:tc>
          <w:tcPr>
            <w:tcW w:w="9540" w:type="dxa"/>
            <w:vMerge/>
          </w:tcPr>
          <w:p w14:paraId="462D66D1" w14:textId="77777777" w:rsidR="00C57703" w:rsidRPr="001B51C5" w:rsidRDefault="00C57703" w:rsidP="001B51C5">
            <w:pPr>
              <w:widowControl w:val="0"/>
              <w:spacing w:before="7" w:after="240"/>
              <w:ind w:firstLine="60"/>
            </w:pPr>
          </w:p>
        </w:tc>
      </w:tr>
      <w:tr w:rsidR="00C57703" w:rsidRPr="001B51C5" w14:paraId="05D69650" w14:textId="77777777" w:rsidTr="6493D36F">
        <w:tc>
          <w:tcPr>
            <w:tcW w:w="6930" w:type="dxa"/>
          </w:tcPr>
          <w:p w14:paraId="3E6E7E30" w14:textId="6AE1B3E8" w:rsidR="00C57703" w:rsidRPr="001B51C5" w:rsidRDefault="004C5A49" w:rsidP="00DA2575">
            <w:pPr>
              <w:widowControl w:val="0"/>
              <w:numPr>
                <w:ilvl w:val="0"/>
                <w:numId w:val="15"/>
              </w:numPr>
              <w:spacing w:before="7" w:after="240"/>
              <w:ind w:left="345" w:hanging="345"/>
              <w:rPr>
                <w:b/>
                <w:bCs/>
              </w:rPr>
            </w:pPr>
            <w:r w:rsidRPr="00294A75">
              <w:rPr>
                <w:rFonts w:eastAsia="Times New Roman"/>
              </w:rPr>
              <w:t>Implement “early warning/trigger” mechanisms that flag when a large</w:t>
            </w:r>
            <w:r>
              <w:rPr>
                <w:rFonts w:eastAsia="Times New Roman"/>
              </w:rPr>
              <w:t xml:space="preserve"> </w:t>
            </w:r>
            <w:r w:rsidRPr="00294A75">
              <w:rPr>
                <w:rFonts w:eastAsia="Times New Roman"/>
              </w:rPr>
              <w:t xml:space="preserve">number of </w:t>
            </w:r>
            <w:r w:rsidR="00CB5584">
              <w:rPr>
                <w:rFonts w:eastAsia="Times New Roman"/>
              </w:rPr>
              <w:t>individuals</w:t>
            </w:r>
            <w:r>
              <w:rPr>
                <w:rFonts w:eastAsia="Times New Roman"/>
              </w:rPr>
              <w:t xml:space="preserve"> </w:t>
            </w:r>
            <w:r w:rsidRPr="00294A75">
              <w:rPr>
                <w:rFonts w:eastAsia="Times New Roman"/>
              </w:rPr>
              <w:t>lose</w:t>
            </w:r>
            <w:r>
              <w:rPr>
                <w:rFonts w:eastAsia="Times New Roman"/>
              </w:rPr>
              <w:t>,</w:t>
            </w:r>
            <w:r w:rsidRPr="00294A75">
              <w:rPr>
                <w:rFonts w:eastAsia="Times New Roman"/>
              </w:rPr>
              <w:t xml:space="preserve"> or are slated to lose</w:t>
            </w:r>
            <w:r>
              <w:rPr>
                <w:rFonts w:eastAsia="Times New Roman"/>
              </w:rPr>
              <w:t>,</w:t>
            </w:r>
            <w:r w:rsidRPr="00294A75">
              <w:rPr>
                <w:rFonts w:eastAsia="Times New Roman"/>
              </w:rPr>
              <w:t xml:space="preserve"> coverage due to no response or missing paperwork</w:t>
            </w:r>
          </w:p>
        </w:tc>
        <w:tc>
          <w:tcPr>
            <w:tcW w:w="9540" w:type="dxa"/>
            <w:vMerge/>
          </w:tcPr>
          <w:p w14:paraId="2FEBD852" w14:textId="77777777" w:rsidR="00C57703" w:rsidRPr="001B51C5" w:rsidRDefault="00C57703" w:rsidP="001B51C5">
            <w:pPr>
              <w:widowControl w:val="0"/>
              <w:spacing w:before="7" w:after="240"/>
              <w:ind w:firstLine="60"/>
            </w:pPr>
          </w:p>
        </w:tc>
      </w:tr>
      <w:tr w:rsidR="00C57703" w:rsidRPr="001B51C5" w14:paraId="047CCF5A" w14:textId="77777777" w:rsidTr="6493D36F">
        <w:trPr>
          <w:trHeight w:val="413"/>
        </w:trPr>
        <w:tc>
          <w:tcPr>
            <w:tcW w:w="6930" w:type="dxa"/>
          </w:tcPr>
          <w:p w14:paraId="14512A58" w14:textId="77777777" w:rsidR="00C57703" w:rsidRPr="001B51C5" w:rsidRDefault="00C57703" w:rsidP="00DA2575">
            <w:pPr>
              <w:widowControl w:val="0"/>
              <w:numPr>
                <w:ilvl w:val="0"/>
                <w:numId w:val="15"/>
              </w:numPr>
              <w:spacing w:before="7" w:after="240"/>
              <w:ind w:left="345" w:hanging="345"/>
              <w:rPr>
                <w:b/>
                <w:bCs/>
              </w:rPr>
            </w:pPr>
            <w:r w:rsidRPr="001B51C5">
              <w:rPr>
                <w:rFonts w:eastAsia="Times New Roman"/>
              </w:rPr>
              <w:t>Automate a “circuit breaker” flag based on a data review for the agency to pause and consider a change in its practices to mitigate inappropriate coverage loss</w:t>
            </w:r>
          </w:p>
        </w:tc>
        <w:tc>
          <w:tcPr>
            <w:tcW w:w="9540" w:type="dxa"/>
            <w:vMerge/>
          </w:tcPr>
          <w:p w14:paraId="08D23D0D" w14:textId="77777777" w:rsidR="00C57703" w:rsidRPr="001B51C5" w:rsidRDefault="00C57703" w:rsidP="001B51C5">
            <w:pPr>
              <w:widowControl w:val="0"/>
              <w:spacing w:before="7" w:after="240"/>
              <w:ind w:firstLine="60"/>
            </w:pPr>
          </w:p>
        </w:tc>
      </w:tr>
      <w:tr w:rsidR="00242E83" w:rsidRPr="001B51C5" w14:paraId="201EC001" w14:textId="77777777" w:rsidTr="6493D36F">
        <w:trPr>
          <w:trHeight w:val="413"/>
        </w:trPr>
        <w:tc>
          <w:tcPr>
            <w:tcW w:w="6930" w:type="dxa"/>
          </w:tcPr>
          <w:p w14:paraId="432B68F1" w14:textId="762FC069" w:rsidR="00242E83" w:rsidRPr="001B51C5" w:rsidRDefault="00242E83" w:rsidP="00DA2575">
            <w:pPr>
              <w:widowControl w:val="0"/>
              <w:numPr>
                <w:ilvl w:val="0"/>
                <w:numId w:val="15"/>
              </w:numPr>
              <w:spacing w:before="7" w:after="240"/>
              <w:ind w:left="345" w:hanging="345"/>
              <w:rPr>
                <w:rFonts w:eastAsia="Times New Roman"/>
              </w:rPr>
            </w:pPr>
            <w:r w:rsidRPr="00AF70AF">
              <w:rPr>
                <w:rFonts w:eastAsia="Times New Roman"/>
              </w:rPr>
              <w:t>Establish processes for reviewing data captured by from the tracking and management tools (e.g., cadence for reviewing data, process for sharing findings with county staff) and implementing mitigation strategies</w:t>
            </w:r>
          </w:p>
        </w:tc>
        <w:tc>
          <w:tcPr>
            <w:tcW w:w="9540" w:type="dxa"/>
            <w:vMerge/>
          </w:tcPr>
          <w:p w14:paraId="7365B6B2" w14:textId="77777777" w:rsidR="00242E83" w:rsidRPr="001B51C5" w:rsidRDefault="00242E83" w:rsidP="001B51C5">
            <w:pPr>
              <w:widowControl w:val="0"/>
              <w:spacing w:before="7" w:after="240"/>
              <w:ind w:firstLine="60"/>
            </w:pPr>
          </w:p>
        </w:tc>
      </w:tr>
      <w:tr w:rsidR="00C57703" w:rsidRPr="001B51C5" w14:paraId="20920852" w14:textId="77777777" w:rsidTr="6493D36F">
        <w:trPr>
          <w:trHeight w:val="413"/>
        </w:trPr>
        <w:tc>
          <w:tcPr>
            <w:tcW w:w="6930" w:type="dxa"/>
          </w:tcPr>
          <w:p w14:paraId="56B8AB39" w14:textId="6A1079CF" w:rsidR="00C57703" w:rsidRPr="001B51C5" w:rsidRDefault="00C57703" w:rsidP="00DA2575">
            <w:pPr>
              <w:widowControl w:val="0"/>
              <w:numPr>
                <w:ilvl w:val="0"/>
                <w:numId w:val="15"/>
              </w:numPr>
              <w:spacing w:before="7" w:after="240"/>
              <w:ind w:left="345" w:hanging="345"/>
              <w:rPr>
                <w:b/>
                <w:bCs/>
              </w:rPr>
            </w:pPr>
            <w:r w:rsidRPr="001B51C5">
              <w:rPr>
                <w:b/>
                <w:bCs/>
              </w:rPr>
              <w:t>Other:</w:t>
            </w:r>
            <w:r w:rsidR="00E73D99">
              <w:rPr>
                <w:b/>
                <w:bCs/>
              </w:rPr>
              <w:t xml:space="preserve"> </w:t>
            </w:r>
          </w:p>
        </w:tc>
        <w:tc>
          <w:tcPr>
            <w:tcW w:w="9540" w:type="dxa"/>
            <w:vMerge/>
          </w:tcPr>
          <w:p w14:paraId="058D80C7" w14:textId="77777777" w:rsidR="00C57703" w:rsidRPr="001B51C5" w:rsidRDefault="00C57703" w:rsidP="001B51C5">
            <w:pPr>
              <w:widowControl w:val="0"/>
              <w:spacing w:before="7" w:after="240"/>
              <w:ind w:firstLine="60"/>
            </w:pPr>
          </w:p>
        </w:tc>
      </w:tr>
    </w:tbl>
    <w:p w14:paraId="1D55E3D8" w14:textId="77777777" w:rsidR="00E13064" w:rsidRPr="00DC581C" w:rsidRDefault="00E13064" w:rsidP="00466D06">
      <w:pPr>
        <w:rPr>
          <w:rFonts w:asciiTheme="minorHAnsi" w:hAnsiTheme="minorHAnsi" w:cstheme="minorHAnsi"/>
          <w:sz w:val="20"/>
          <w:szCs w:val="20"/>
          <w:highlight w:val="cyan"/>
        </w:rPr>
      </w:pPr>
    </w:p>
    <w:p w14:paraId="031295D6" w14:textId="77777777" w:rsidR="00DF383F" w:rsidRPr="000E2EE4" w:rsidRDefault="00DF383F" w:rsidP="00DA2575">
      <w:pPr>
        <w:pStyle w:val="ListParagraph"/>
        <w:numPr>
          <w:ilvl w:val="0"/>
          <w:numId w:val="13"/>
        </w:numPr>
        <w:tabs>
          <w:tab w:val="left" w:pos="720"/>
        </w:tabs>
      </w:pPr>
      <w:bookmarkStart w:id="6" w:name="_Toc83275722"/>
      <w:r w:rsidRPr="000E2EE4">
        <w:rPr>
          <w:b/>
        </w:rPr>
        <w:t>Key risk: Inability to process fair hearings timely due to a high volume of requests</w:t>
      </w:r>
    </w:p>
    <w:p w14:paraId="7B0AE757" w14:textId="77777777" w:rsidR="00DF383F" w:rsidRPr="00291346" w:rsidRDefault="00DF383F" w:rsidP="00DF383F">
      <w:pPr>
        <w:pStyle w:val="ListParagraph"/>
        <w:tabs>
          <w:tab w:val="left" w:pos="720"/>
        </w:tabs>
        <w:ind w:left="1080"/>
      </w:pPr>
    </w:p>
    <w:tbl>
      <w:tblPr>
        <w:tblStyle w:val="TableGrid"/>
        <w:tblW w:w="16470" w:type="dxa"/>
        <w:tblInd w:w="715" w:type="dxa"/>
        <w:tblLook w:val="04A0" w:firstRow="1" w:lastRow="0" w:firstColumn="1" w:lastColumn="0" w:noHBand="0" w:noVBand="1"/>
      </w:tblPr>
      <w:tblGrid>
        <w:gridCol w:w="6930"/>
        <w:gridCol w:w="9540"/>
      </w:tblGrid>
      <w:tr w:rsidR="00B41043" w:rsidRPr="00B41043" w14:paraId="5652A61B" w14:textId="77777777" w:rsidTr="6493D36F">
        <w:trPr>
          <w:trHeight w:val="413"/>
          <w:tblHeader/>
        </w:trPr>
        <w:tc>
          <w:tcPr>
            <w:tcW w:w="6930" w:type="dxa"/>
            <w:shd w:val="clear" w:color="auto" w:fill="4F81BD" w:themeFill="accent1"/>
          </w:tcPr>
          <w:p w14:paraId="6C59E213" w14:textId="77777777" w:rsidR="00DF383F" w:rsidRPr="00B41043" w:rsidRDefault="00DF383F" w:rsidP="00037620">
            <w:pPr>
              <w:rPr>
                <w:rFonts w:asciiTheme="minorHAnsi" w:hAnsiTheme="minorHAnsi" w:cstheme="minorHAnsi"/>
                <w:b/>
                <w:bCs/>
              </w:rPr>
            </w:pPr>
            <w:r w:rsidRPr="00B41043">
              <w:rPr>
                <w:rFonts w:asciiTheme="minorHAnsi" w:hAnsiTheme="minorHAnsi" w:cstheme="minorBidi"/>
                <w:b/>
                <w:bCs/>
              </w:rPr>
              <w:t>Potential Strategies to Mitigate Risk</w:t>
            </w:r>
          </w:p>
        </w:tc>
        <w:tc>
          <w:tcPr>
            <w:tcW w:w="9540" w:type="dxa"/>
            <w:shd w:val="clear" w:color="auto" w:fill="4F81BD" w:themeFill="accent1"/>
          </w:tcPr>
          <w:p w14:paraId="4F42F234" w14:textId="77777777" w:rsidR="00DF383F" w:rsidRPr="00B41043" w:rsidRDefault="00DF383F" w:rsidP="00037620">
            <w:pPr>
              <w:rPr>
                <w:rFonts w:asciiTheme="minorHAnsi" w:hAnsiTheme="minorHAnsi" w:cstheme="minorHAnsi"/>
                <w:b/>
                <w:bCs/>
              </w:rPr>
            </w:pPr>
            <w:r w:rsidRPr="00B41043">
              <w:rPr>
                <w:rFonts w:asciiTheme="minorHAnsi" w:hAnsiTheme="minorHAnsi" w:cstheme="minorBidi"/>
                <w:b/>
                <w:bCs/>
              </w:rPr>
              <w:t>State Approach and Timeline</w:t>
            </w:r>
          </w:p>
        </w:tc>
      </w:tr>
      <w:tr w:rsidR="00022744" w:rsidRPr="001B51C5" w14:paraId="64F819AE" w14:textId="77777777" w:rsidTr="0074275D">
        <w:trPr>
          <w:trHeight w:val="1241"/>
        </w:trPr>
        <w:tc>
          <w:tcPr>
            <w:tcW w:w="6930" w:type="dxa"/>
          </w:tcPr>
          <w:p w14:paraId="2356F703" w14:textId="3419CA7C" w:rsidR="00022744" w:rsidRPr="00022744" w:rsidRDefault="00022744" w:rsidP="00DA2575">
            <w:pPr>
              <w:numPr>
                <w:ilvl w:val="0"/>
                <w:numId w:val="15"/>
              </w:numPr>
              <w:spacing w:line="259" w:lineRule="auto"/>
              <w:ind w:left="340" w:hanging="340"/>
              <w:contextualSpacing/>
              <w:rPr>
                <w:rFonts w:eastAsia="Times New Roman"/>
              </w:rPr>
            </w:pPr>
            <w:r>
              <w:rPr>
                <w:rFonts w:eastAsia="Times New Roman"/>
              </w:rPr>
              <w:t>Re</w:t>
            </w:r>
            <w:r w:rsidR="00641A2B">
              <w:rPr>
                <w:rFonts w:eastAsia="Times New Roman"/>
              </w:rPr>
              <w:t>d</w:t>
            </w:r>
            <w:r w:rsidRPr="00022744">
              <w:rPr>
                <w:rFonts w:eastAsia="Times New Roman"/>
              </w:rPr>
              <w:t xml:space="preserve">istribute current staff responsibilities or hire additional staff, short or long term, to assist with fair hearing process, including informal resolution </w:t>
            </w:r>
          </w:p>
        </w:tc>
        <w:tc>
          <w:tcPr>
            <w:tcW w:w="9540" w:type="dxa"/>
            <w:vMerge w:val="restart"/>
          </w:tcPr>
          <w:p w14:paraId="5A4EF891" w14:textId="77777777" w:rsidR="00022744" w:rsidRPr="00BE43F1" w:rsidRDefault="00022744" w:rsidP="00DA2575">
            <w:pPr>
              <w:pStyle w:val="BodyText"/>
              <w:numPr>
                <w:ilvl w:val="0"/>
                <w:numId w:val="23"/>
              </w:numPr>
              <w:spacing w:before="7"/>
              <w:rPr>
                <w:i/>
                <w:iCs/>
                <w:color w:val="4172AD"/>
              </w:rPr>
            </w:pPr>
            <w:r w:rsidRPr="00BE43F1">
              <w:rPr>
                <w:i/>
                <w:iCs/>
                <w:color w:val="4172AD"/>
              </w:rPr>
              <w:t xml:space="preserve">How significant is this risk in your state? </w:t>
            </w:r>
          </w:p>
          <w:p w14:paraId="22A2C1A6" w14:textId="77777777" w:rsidR="00022744" w:rsidRPr="00BE43F1" w:rsidRDefault="00022744" w:rsidP="00DA2575">
            <w:pPr>
              <w:pStyle w:val="BodyText"/>
              <w:numPr>
                <w:ilvl w:val="0"/>
                <w:numId w:val="23"/>
              </w:numPr>
              <w:spacing w:before="7"/>
              <w:rPr>
                <w:i/>
                <w:iCs/>
                <w:color w:val="4172AD"/>
              </w:rPr>
            </w:pPr>
            <w:r w:rsidRPr="00BE43F1">
              <w:rPr>
                <w:i/>
                <w:iCs/>
                <w:color w:val="4172AD"/>
              </w:rPr>
              <w:t>Which of these strategies will the state implement to mitigate risk? Are there other strategies the state will adopt?</w:t>
            </w:r>
          </w:p>
          <w:p w14:paraId="58EBB127" w14:textId="77777777" w:rsidR="00022744" w:rsidRPr="001B51C5" w:rsidRDefault="00022744" w:rsidP="00DA2575">
            <w:pPr>
              <w:pStyle w:val="ListParagraph"/>
              <w:widowControl w:val="0"/>
              <w:numPr>
                <w:ilvl w:val="0"/>
                <w:numId w:val="23"/>
              </w:numPr>
              <w:spacing w:before="7" w:after="240"/>
            </w:pPr>
            <w:r w:rsidRPr="00BE43F1">
              <w:rPr>
                <w:i/>
                <w:iCs/>
                <w:color w:val="4172AD"/>
              </w:rPr>
              <w:t>What steps will the state need to take to operationalize these strategies and when?</w:t>
            </w:r>
          </w:p>
        </w:tc>
      </w:tr>
      <w:tr w:rsidR="00022744" w:rsidRPr="001B51C5" w14:paraId="1FBD0B0D" w14:textId="77777777" w:rsidTr="6493D36F">
        <w:trPr>
          <w:trHeight w:val="350"/>
        </w:trPr>
        <w:tc>
          <w:tcPr>
            <w:tcW w:w="6930" w:type="dxa"/>
          </w:tcPr>
          <w:p w14:paraId="0E0B9F79" w14:textId="4655CB9B" w:rsidR="00022744" w:rsidRPr="00022744" w:rsidRDefault="00022744" w:rsidP="00DA2575">
            <w:pPr>
              <w:numPr>
                <w:ilvl w:val="0"/>
                <w:numId w:val="15"/>
              </w:numPr>
              <w:spacing w:line="259" w:lineRule="auto"/>
              <w:ind w:left="340" w:hanging="340"/>
              <w:contextualSpacing/>
              <w:rPr>
                <w:rFonts w:eastAsia="Times New Roman"/>
              </w:rPr>
            </w:pPr>
            <w:r>
              <w:rPr>
                <w:rFonts w:eastAsia="Times New Roman"/>
              </w:rPr>
              <w:t>U</w:t>
            </w:r>
            <w:r w:rsidRPr="00022744">
              <w:rPr>
                <w:rFonts w:eastAsia="Times New Roman"/>
              </w:rPr>
              <w:t>se paralegals or other staff to prepare cases for decision by hearing officers</w:t>
            </w:r>
            <w:r w:rsidR="00E73D99">
              <w:rPr>
                <w:rFonts w:eastAsia="Times New Roman"/>
              </w:rPr>
              <w:t xml:space="preserve"> </w:t>
            </w:r>
          </w:p>
          <w:p w14:paraId="3700ED04" w14:textId="77777777" w:rsidR="00022744" w:rsidRDefault="00022744" w:rsidP="00022744">
            <w:pPr>
              <w:spacing w:line="259" w:lineRule="auto"/>
              <w:ind w:left="360"/>
              <w:contextualSpacing/>
              <w:rPr>
                <w:rFonts w:eastAsia="Times New Roman"/>
              </w:rPr>
            </w:pPr>
          </w:p>
        </w:tc>
        <w:tc>
          <w:tcPr>
            <w:tcW w:w="9540" w:type="dxa"/>
            <w:vMerge/>
          </w:tcPr>
          <w:p w14:paraId="39918C38" w14:textId="77777777" w:rsidR="00022744" w:rsidRPr="00C57703" w:rsidRDefault="00022744" w:rsidP="00DA2575">
            <w:pPr>
              <w:pStyle w:val="BodyText"/>
              <w:numPr>
                <w:ilvl w:val="0"/>
                <w:numId w:val="23"/>
              </w:numPr>
              <w:spacing w:before="7"/>
              <w:rPr>
                <w:i/>
                <w:iCs/>
                <w:color w:val="4F81BD" w:themeColor="accent1"/>
              </w:rPr>
            </w:pPr>
          </w:p>
        </w:tc>
      </w:tr>
      <w:tr w:rsidR="00022744" w:rsidRPr="001B51C5" w14:paraId="17466212" w14:textId="77777777" w:rsidTr="6493D36F">
        <w:trPr>
          <w:trHeight w:val="350"/>
        </w:trPr>
        <w:tc>
          <w:tcPr>
            <w:tcW w:w="6930" w:type="dxa"/>
          </w:tcPr>
          <w:p w14:paraId="2D414F9F" w14:textId="709268F8" w:rsidR="00022744" w:rsidRDefault="00022744" w:rsidP="00DA2575">
            <w:pPr>
              <w:numPr>
                <w:ilvl w:val="0"/>
                <w:numId w:val="15"/>
              </w:numPr>
              <w:spacing w:line="259" w:lineRule="auto"/>
              <w:ind w:left="340"/>
              <w:contextualSpacing/>
              <w:rPr>
                <w:rFonts w:eastAsia="Times New Roman"/>
              </w:rPr>
            </w:pPr>
            <w:r>
              <w:rPr>
                <w:rFonts w:eastAsia="Times New Roman"/>
              </w:rPr>
              <w:t xml:space="preserve">Utilize contactors for administrative fair hearing functions, such as </w:t>
            </w:r>
            <w:r w:rsidRPr="00DE7539">
              <w:rPr>
                <w:rFonts w:eastAsia="Times New Roman"/>
              </w:rPr>
              <w:t xml:space="preserve">intake and processing, call center (as long as using standard operating procedures), scheduling </w:t>
            </w:r>
            <w:r>
              <w:rPr>
                <w:rFonts w:eastAsia="Times New Roman"/>
              </w:rPr>
              <w:t>and</w:t>
            </w:r>
            <w:r w:rsidRPr="00DE7539">
              <w:rPr>
                <w:rFonts w:eastAsia="Times New Roman"/>
              </w:rPr>
              <w:t xml:space="preserve"> managing cases, issuing notices</w:t>
            </w:r>
          </w:p>
        </w:tc>
        <w:tc>
          <w:tcPr>
            <w:tcW w:w="9540" w:type="dxa"/>
            <w:vMerge/>
          </w:tcPr>
          <w:p w14:paraId="3D98501E" w14:textId="77777777" w:rsidR="00022744" w:rsidRPr="00C57703" w:rsidRDefault="00022744" w:rsidP="00DA2575">
            <w:pPr>
              <w:pStyle w:val="BodyText"/>
              <w:numPr>
                <w:ilvl w:val="0"/>
                <w:numId w:val="23"/>
              </w:numPr>
              <w:spacing w:before="7"/>
              <w:rPr>
                <w:i/>
                <w:iCs/>
                <w:color w:val="4F81BD" w:themeColor="accent1"/>
              </w:rPr>
            </w:pPr>
          </w:p>
        </w:tc>
      </w:tr>
      <w:tr w:rsidR="00022744" w:rsidRPr="001B51C5" w14:paraId="56A00D3F" w14:textId="77777777" w:rsidTr="6493D36F">
        <w:trPr>
          <w:trHeight w:val="350"/>
        </w:trPr>
        <w:tc>
          <w:tcPr>
            <w:tcW w:w="6930" w:type="dxa"/>
          </w:tcPr>
          <w:p w14:paraId="022D17D9" w14:textId="219A2827" w:rsidR="00022744" w:rsidRDefault="00022744" w:rsidP="00DA2575">
            <w:pPr>
              <w:numPr>
                <w:ilvl w:val="0"/>
                <w:numId w:val="15"/>
              </w:numPr>
              <w:spacing w:line="259" w:lineRule="auto"/>
              <w:ind w:left="340"/>
              <w:contextualSpacing/>
              <w:rPr>
                <w:rFonts w:eastAsia="Times New Roman"/>
              </w:rPr>
            </w:pPr>
            <w:r w:rsidRPr="00F60C2B">
              <w:rPr>
                <w:rFonts w:eastAsia="Times New Roman"/>
              </w:rPr>
              <w:t>Use hearing officers, rather than administrative law judges, to conduct and issue hearings decisions</w:t>
            </w:r>
          </w:p>
        </w:tc>
        <w:tc>
          <w:tcPr>
            <w:tcW w:w="9540" w:type="dxa"/>
            <w:vMerge/>
          </w:tcPr>
          <w:p w14:paraId="16F88201" w14:textId="77777777" w:rsidR="00022744" w:rsidRPr="00C57703" w:rsidRDefault="00022744" w:rsidP="00DA2575">
            <w:pPr>
              <w:pStyle w:val="BodyText"/>
              <w:numPr>
                <w:ilvl w:val="0"/>
                <w:numId w:val="23"/>
              </w:numPr>
              <w:spacing w:before="7"/>
              <w:rPr>
                <w:i/>
                <w:iCs/>
                <w:color w:val="4F81BD" w:themeColor="accent1"/>
              </w:rPr>
            </w:pPr>
          </w:p>
        </w:tc>
      </w:tr>
      <w:tr w:rsidR="00022744" w:rsidRPr="001B51C5" w14:paraId="21380164" w14:textId="77777777" w:rsidTr="6493D36F">
        <w:trPr>
          <w:trHeight w:val="350"/>
        </w:trPr>
        <w:tc>
          <w:tcPr>
            <w:tcW w:w="6930" w:type="dxa"/>
          </w:tcPr>
          <w:p w14:paraId="55291329" w14:textId="55A27F3B" w:rsidR="00022744" w:rsidRDefault="00022744" w:rsidP="00DA2575">
            <w:pPr>
              <w:numPr>
                <w:ilvl w:val="0"/>
                <w:numId w:val="15"/>
              </w:numPr>
              <w:spacing w:line="259" w:lineRule="auto"/>
              <w:ind w:left="340"/>
              <w:contextualSpacing/>
              <w:rPr>
                <w:rFonts w:eastAsia="Times New Roman"/>
              </w:rPr>
            </w:pPr>
            <w:r w:rsidRPr="005C3CD8">
              <w:rPr>
                <w:bCs/>
              </w:rPr>
              <w:t>Sp</w:t>
            </w:r>
            <w:r>
              <w:rPr>
                <w:bCs/>
              </w:rPr>
              <w:t>read out eligibility renewals to spread out potential fair hearing requests</w:t>
            </w:r>
          </w:p>
        </w:tc>
        <w:tc>
          <w:tcPr>
            <w:tcW w:w="9540" w:type="dxa"/>
            <w:vMerge/>
          </w:tcPr>
          <w:p w14:paraId="23D0ED9A" w14:textId="77777777" w:rsidR="00022744" w:rsidRPr="00C57703" w:rsidRDefault="00022744" w:rsidP="00DA2575">
            <w:pPr>
              <w:pStyle w:val="BodyText"/>
              <w:numPr>
                <w:ilvl w:val="0"/>
                <w:numId w:val="23"/>
              </w:numPr>
              <w:spacing w:before="7"/>
              <w:rPr>
                <w:i/>
                <w:iCs/>
                <w:color w:val="4F81BD" w:themeColor="accent1"/>
              </w:rPr>
            </w:pPr>
          </w:p>
        </w:tc>
      </w:tr>
      <w:tr w:rsidR="00022744" w:rsidRPr="001B51C5" w14:paraId="57C6D700" w14:textId="77777777" w:rsidTr="6493D36F">
        <w:trPr>
          <w:trHeight w:val="350"/>
        </w:trPr>
        <w:tc>
          <w:tcPr>
            <w:tcW w:w="6930" w:type="dxa"/>
          </w:tcPr>
          <w:p w14:paraId="7C9A2800" w14:textId="55F7CC41" w:rsidR="00022744" w:rsidRDefault="00022744" w:rsidP="00DA2575">
            <w:pPr>
              <w:numPr>
                <w:ilvl w:val="0"/>
                <w:numId w:val="15"/>
              </w:numPr>
              <w:spacing w:line="259" w:lineRule="auto"/>
              <w:ind w:left="340"/>
              <w:contextualSpacing/>
              <w:rPr>
                <w:rFonts w:eastAsia="Times New Roman"/>
              </w:rPr>
            </w:pPr>
            <w:r>
              <w:rPr>
                <w:rFonts w:eastAsia="Times New Roman"/>
              </w:rPr>
              <w:t>Identify fair hearing requests needing prioritization (</w:t>
            </w:r>
            <w:r w:rsidRPr="00DE7539">
              <w:rPr>
                <w:rFonts w:eastAsia="Times New Roman"/>
              </w:rPr>
              <w:t xml:space="preserve">e.g., expedited requests where an individual has an urgent health need, </w:t>
            </w:r>
            <w:r>
              <w:rPr>
                <w:rFonts w:eastAsia="Times New Roman"/>
              </w:rPr>
              <w:t xml:space="preserve">vulnerable/transient populations, individuals without benefits pending appeal – </w:t>
            </w:r>
            <w:r w:rsidRPr="00DE7539">
              <w:rPr>
                <w:rFonts w:eastAsia="Times New Roman"/>
              </w:rPr>
              <w:t>service</w:t>
            </w:r>
            <w:r>
              <w:rPr>
                <w:rFonts w:eastAsia="Times New Roman"/>
              </w:rPr>
              <w:t xml:space="preserve"> or</w:t>
            </w:r>
            <w:r w:rsidRPr="00DE7539">
              <w:rPr>
                <w:rFonts w:eastAsia="Times New Roman"/>
              </w:rPr>
              <w:t xml:space="preserve"> new application</w:t>
            </w:r>
            <w:r>
              <w:rPr>
                <w:rFonts w:eastAsia="Times New Roman"/>
              </w:rPr>
              <w:t xml:space="preserve"> appeal</w:t>
            </w:r>
            <w:r w:rsidRPr="00DE7539">
              <w:rPr>
                <w:rFonts w:eastAsia="Times New Roman"/>
              </w:rPr>
              <w:t>)</w:t>
            </w:r>
          </w:p>
        </w:tc>
        <w:tc>
          <w:tcPr>
            <w:tcW w:w="9540" w:type="dxa"/>
            <w:vMerge/>
          </w:tcPr>
          <w:p w14:paraId="40FD7D90" w14:textId="77777777" w:rsidR="00022744" w:rsidRPr="00C57703" w:rsidRDefault="00022744" w:rsidP="00DA2575">
            <w:pPr>
              <w:pStyle w:val="BodyText"/>
              <w:numPr>
                <w:ilvl w:val="0"/>
                <w:numId w:val="23"/>
              </w:numPr>
              <w:spacing w:before="7"/>
              <w:rPr>
                <w:i/>
                <w:iCs/>
                <w:color w:val="4F81BD" w:themeColor="accent1"/>
              </w:rPr>
            </w:pPr>
          </w:p>
        </w:tc>
      </w:tr>
      <w:tr w:rsidR="00022744" w:rsidRPr="001B51C5" w14:paraId="6B044ED2" w14:textId="77777777" w:rsidTr="6493D36F">
        <w:tc>
          <w:tcPr>
            <w:tcW w:w="6930" w:type="dxa"/>
          </w:tcPr>
          <w:p w14:paraId="7EA78B45" w14:textId="77777777" w:rsidR="00022744" w:rsidRPr="005C3CD8" w:rsidRDefault="00022744" w:rsidP="00DA2575">
            <w:pPr>
              <w:widowControl w:val="0"/>
              <w:numPr>
                <w:ilvl w:val="0"/>
                <w:numId w:val="15"/>
              </w:numPr>
              <w:spacing w:before="100" w:beforeAutospacing="1" w:after="100" w:afterAutospacing="1"/>
              <w:ind w:left="346" w:hanging="346"/>
              <w:rPr>
                <w:b/>
                <w:bCs/>
              </w:rPr>
            </w:pPr>
            <w:r>
              <w:rPr>
                <w:rFonts w:eastAsia="Times New Roman"/>
              </w:rPr>
              <w:t xml:space="preserve">Create or expand informal resolution processes </w:t>
            </w:r>
          </w:p>
          <w:p w14:paraId="3732FBFC" w14:textId="029E37F4" w:rsidR="00DA3E2F" w:rsidRPr="0074275D" w:rsidRDefault="00022744" w:rsidP="00DA2575">
            <w:pPr>
              <w:pStyle w:val="ListParagraph"/>
              <w:numPr>
                <w:ilvl w:val="1"/>
                <w:numId w:val="15"/>
              </w:numPr>
            </w:pPr>
            <w:r>
              <w:rPr>
                <w:rFonts w:eastAsia="Times New Roman"/>
              </w:rPr>
              <w:t>Models</w:t>
            </w:r>
            <w:r w:rsidRPr="005C3CD8">
              <w:rPr>
                <w:rFonts w:eastAsia="Times New Roman"/>
              </w:rPr>
              <w:t xml:space="preserve"> </w:t>
            </w:r>
            <w:r>
              <w:rPr>
                <w:rFonts w:eastAsia="Times New Roman"/>
              </w:rPr>
              <w:t>include:</w:t>
            </w:r>
            <w:r w:rsidRPr="005C3CD8">
              <w:rPr>
                <w:rFonts w:eastAsia="Times New Roman"/>
              </w:rPr>
              <w:t xml:space="preserve"> </w:t>
            </w:r>
            <w:r w:rsidR="00DA3E2F" w:rsidRPr="005C3CD8">
              <w:rPr>
                <w:rFonts w:eastAsia="Times New Roman"/>
              </w:rPr>
              <w:t xml:space="preserve">case workers/call center staff phone calls to address </w:t>
            </w:r>
            <w:r w:rsidR="00DA3E2F">
              <w:rPr>
                <w:rFonts w:eastAsia="Times New Roman"/>
              </w:rPr>
              <w:t xml:space="preserve">and resolve </w:t>
            </w:r>
            <w:r w:rsidR="00DA3E2F" w:rsidRPr="005C3CD8">
              <w:rPr>
                <w:rFonts w:eastAsia="Times New Roman"/>
              </w:rPr>
              <w:t>appellant</w:t>
            </w:r>
            <w:r w:rsidR="00DA3E2F">
              <w:rPr>
                <w:rFonts w:eastAsia="Times New Roman"/>
              </w:rPr>
              <w:t>s’</w:t>
            </w:r>
            <w:r w:rsidR="00DA3E2F" w:rsidRPr="005C3CD8">
              <w:rPr>
                <w:rFonts w:eastAsia="Times New Roman"/>
              </w:rPr>
              <w:t xml:space="preserve"> questions</w:t>
            </w:r>
            <w:r w:rsidR="00DA3E2F">
              <w:rPr>
                <w:rFonts w:eastAsia="Times New Roman"/>
              </w:rPr>
              <w:t xml:space="preserve">, use of paralegals or senior eligibility staff review of cases, </w:t>
            </w:r>
            <w:r>
              <w:rPr>
                <w:rFonts w:eastAsia="Times New Roman"/>
              </w:rPr>
              <w:t xml:space="preserve">pre-hearing conferences, </w:t>
            </w:r>
            <w:r w:rsidR="00DA3E2F">
              <w:rPr>
                <w:rFonts w:eastAsia="Times New Roman"/>
              </w:rPr>
              <w:t>and mediation</w:t>
            </w:r>
            <w:r w:rsidR="00B8629A">
              <w:rPr>
                <w:rFonts w:eastAsia="Times New Roman"/>
              </w:rPr>
              <w:t xml:space="preserve">. </w:t>
            </w:r>
          </w:p>
          <w:p w14:paraId="41E915A2" w14:textId="77777777" w:rsidR="00022744" w:rsidRPr="00540AA4" w:rsidRDefault="00022744" w:rsidP="00DA2575">
            <w:pPr>
              <w:pStyle w:val="ListParagraph"/>
              <w:numPr>
                <w:ilvl w:val="1"/>
                <w:numId w:val="15"/>
              </w:numPr>
              <w:rPr>
                <w:bCs/>
              </w:rPr>
            </w:pPr>
            <w:r w:rsidRPr="00D3578F">
              <w:rPr>
                <w:bCs/>
              </w:rPr>
              <w:t xml:space="preserve">Target cohorts of cases which may be more suitable to an </w:t>
            </w:r>
            <w:r w:rsidRPr="00022744">
              <w:rPr>
                <w:rFonts w:eastAsia="Times New Roman"/>
              </w:rPr>
              <w:t>informal resolution process (e.g., procedural terminations)</w:t>
            </w:r>
          </w:p>
          <w:p w14:paraId="1CFE135C" w14:textId="348087DE" w:rsidR="00540AA4" w:rsidRPr="005C3CD8" w:rsidRDefault="00540AA4" w:rsidP="00540AA4">
            <w:pPr>
              <w:pStyle w:val="ListParagraph"/>
              <w:ind w:left="1440"/>
              <w:rPr>
                <w:bCs/>
              </w:rPr>
            </w:pPr>
          </w:p>
        </w:tc>
        <w:tc>
          <w:tcPr>
            <w:tcW w:w="9540" w:type="dxa"/>
            <w:vMerge/>
          </w:tcPr>
          <w:p w14:paraId="5A398085" w14:textId="77777777" w:rsidR="00022744" w:rsidRPr="001B51C5" w:rsidRDefault="00022744" w:rsidP="00037620">
            <w:pPr>
              <w:widowControl w:val="0"/>
              <w:spacing w:before="7" w:after="240"/>
              <w:ind w:firstLine="60"/>
            </w:pPr>
          </w:p>
        </w:tc>
      </w:tr>
      <w:tr w:rsidR="00022744" w:rsidRPr="001B51C5" w14:paraId="4424A64C" w14:textId="77777777" w:rsidTr="6493D36F">
        <w:tc>
          <w:tcPr>
            <w:tcW w:w="6930" w:type="dxa"/>
          </w:tcPr>
          <w:p w14:paraId="1F50CCB2" w14:textId="4CCE8457" w:rsidR="00022744" w:rsidRPr="001B51C5" w:rsidRDefault="00022744" w:rsidP="00DA2575">
            <w:pPr>
              <w:widowControl w:val="0"/>
              <w:numPr>
                <w:ilvl w:val="0"/>
                <w:numId w:val="15"/>
              </w:numPr>
              <w:spacing w:before="7" w:after="240"/>
              <w:ind w:left="345" w:hanging="345"/>
              <w:rPr>
                <w:rFonts w:eastAsia="Times New Roman"/>
              </w:rPr>
            </w:pPr>
            <w:r>
              <w:t xml:space="preserve">Use multiple modalities (e.g., in-person, telephone, or video </w:t>
            </w:r>
            <w:r>
              <w:lastRenderedPageBreak/>
              <w:t>conference hearings) in a manner that is accessible to individuals with disabilities and those who are limited English proficient</w:t>
            </w:r>
          </w:p>
        </w:tc>
        <w:tc>
          <w:tcPr>
            <w:tcW w:w="9540" w:type="dxa"/>
            <w:vMerge/>
          </w:tcPr>
          <w:p w14:paraId="79C98C9F" w14:textId="77777777" w:rsidR="00022744" w:rsidRPr="001B51C5" w:rsidRDefault="00022744" w:rsidP="00037620">
            <w:pPr>
              <w:widowControl w:val="0"/>
              <w:spacing w:before="7" w:after="240"/>
              <w:ind w:firstLine="60"/>
            </w:pPr>
          </w:p>
        </w:tc>
      </w:tr>
      <w:tr w:rsidR="00022744" w:rsidRPr="001B51C5" w14:paraId="5B520325" w14:textId="77777777" w:rsidTr="6493D36F">
        <w:tc>
          <w:tcPr>
            <w:tcW w:w="6930" w:type="dxa"/>
          </w:tcPr>
          <w:p w14:paraId="29B7D98B" w14:textId="77777777" w:rsidR="00022744" w:rsidRPr="005C3CD8" w:rsidRDefault="00022744" w:rsidP="00DA2575">
            <w:pPr>
              <w:pStyle w:val="ListParagraph"/>
              <w:numPr>
                <w:ilvl w:val="0"/>
                <w:numId w:val="15"/>
              </w:numPr>
              <w:ind w:left="340" w:hanging="340"/>
              <w:rPr>
                <w:b/>
              </w:rPr>
            </w:pPr>
            <w:r>
              <w:t>Accept a hearing officer/ALJ’s decision as final without further Medicaid agency review</w:t>
            </w:r>
          </w:p>
          <w:p w14:paraId="5700723B" w14:textId="77777777" w:rsidR="00022744" w:rsidRPr="005C3CD8" w:rsidRDefault="00022744" w:rsidP="00037620">
            <w:pPr>
              <w:pStyle w:val="ListParagraph"/>
              <w:ind w:left="1440"/>
              <w:rPr>
                <w:bCs/>
              </w:rPr>
            </w:pPr>
          </w:p>
        </w:tc>
        <w:tc>
          <w:tcPr>
            <w:tcW w:w="9540" w:type="dxa"/>
            <w:vMerge/>
          </w:tcPr>
          <w:p w14:paraId="472B185A" w14:textId="77777777" w:rsidR="00022744" w:rsidRPr="001B51C5" w:rsidRDefault="00022744" w:rsidP="00037620">
            <w:pPr>
              <w:widowControl w:val="0"/>
              <w:spacing w:before="7" w:after="240"/>
              <w:ind w:firstLine="60"/>
            </w:pPr>
          </w:p>
        </w:tc>
      </w:tr>
      <w:tr w:rsidR="00022744" w:rsidRPr="001B51C5" w14:paraId="2BBDED88" w14:textId="77777777" w:rsidTr="6493D36F">
        <w:trPr>
          <w:trHeight w:val="413"/>
        </w:trPr>
        <w:tc>
          <w:tcPr>
            <w:tcW w:w="6930" w:type="dxa"/>
          </w:tcPr>
          <w:p w14:paraId="744F8319" w14:textId="58FD7452" w:rsidR="00022744" w:rsidRPr="001B51C5" w:rsidRDefault="00022744" w:rsidP="00DA2575">
            <w:pPr>
              <w:widowControl w:val="0"/>
              <w:numPr>
                <w:ilvl w:val="0"/>
                <w:numId w:val="15"/>
              </w:numPr>
              <w:spacing w:before="7" w:after="240"/>
              <w:ind w:left="345" w:hanging="345"/>
              <w:rPr>
                <w:b/>
                <w:bCs/>
              </w:rPr>
            </w:pPr>
            <w:r>
              <w:t>Develop or enhance electronic appeals management processes to reduce reliance on paper files (e.g.</w:t>
            </w:r>
            <w:r w:rsidRPr="00DF383F">
              <w:rPr>
                <w:rFonts w:eastAsia="Times New Roman"/>
              </w:rPr>
              <w:t xml:space="preserve"> online fair hearing requests, upload of evidence) </w:t>
            </w:r>
          </w:p>
        </w:tc>
        <w:tc>
          <w:tcPr>
            <w:tcW w:w="9540" w:type="dxa"/>
            <w:vMerge/>
          </w:tcPr>
          <w:p w14:paraId="29653C10" w14:textId="77777777" w:rsidR="00022744" w:rsidRPr="001B51C5" w:rsidRDefault="00022744" w:rsidP="00037620">
            <w:pPr>
              <w:widowControl w:val="0"/>
              <w:spacing w:before="7" w:after="240"/>
              <w:ind w:firstLine="60"/>
            </w:pPr>
          </w:p>
        </w:tc>
      </w:tr>
      <w:tr w:rsidR="00022744" w:rsidRPr="001B51C5" w14:paraId="384889E9" w14:textId="77777777" w:rsidTr="6493D36F">
        <w:trPr>
          <w:trHeight w:val="413"/>
        </w:trPr>
        <w:tc>
          <w:tcPr>
            <w:tcW w:w="6930" w:type="dxa"/>
          </w:tcPr>
          <w:p w14:paraId="0EC8524D" w14:textId="59B70F93" w:rsidR="00022744" w:rsidRPr="00DF383F" w:rsidRDefault="00022744" w:rsidP="00DA2575">
            <w:pPr>
              <w:pStyle w:val="ListParagraph"/>
              <w:numPr>
                <w:ilvl w:val="0"/>
                <w:numId w:val="15"/>
              </w:numPr>
              <w:ind w:left="340"/>
              <w:rPr>
                <w:b/>
              </w:rPr>
            </w:pPr>
            <w:r>
              <w:t xml:space="preserve">Engage </w:t>
            </w:r>
            <w:r w:rsidDel="00671503">
              <w:t xml:space="preserve">stakeholders </w:t>
            </w:r>
            <w:r>
              <w:t>and community organizations (e.g. Ombudsman office, legal services, providers, sister agencies): to help communicate adjustments and process changes, spot issues, and identify cases that require prioritization</w:t>
            </w:r>
            <w:r w:rsidR="00E73D99">
              <w:t xml:space="preserve"> </w:t>
            </w:r>
          </w:p>
        </w:tc>
        <w:tc>
          <w:tcPr>
            <w:tcW w:w="9540" w:type="dxa"/>
            <w:vMerge/>
          </w:tcPr>
          <w:p w14:paraId="3609FD56" w14:textId="77777777" w:rsidR="00022744" w:rsidRPr="001B51C5" w:rsidRDefault="00022744" w:rsidP="00037620">
            <w:pPr>
              <w:widowControl w:val="0"/>
              <w:spacing w:before="7" w:after="240"/>
              <w:ind w:firstLine="60"/>
            </w:pPr>
          </w:p>
        </w:tc>
      </w:tr>
      <w:tr w:rsidR="00022744" w:rsidRPr="001B51C5" w14:paraId="389215C5" w14:textId="77777777" w:rsidTr="6493D36F">
        <w:trPr>
          <w:trHeight w:val="413"/>
        </w:trPr>
        <w:tc>
          <w:tcPr>
            <w:tcW w:w="6930" w:type="dxa"/>
          </w:tcPr>
          <w:p w14:paraId="51DF75ED" w14:textId="082B80DC" w:rsidR="00022744" w:rsidRPr="00F60C2B" w:rsidRDefault="00022744" w:rsidP="00DA2575">
            <w:pPr>
              <w:widowControl w:val="0"/>
              <w:numPr>
                <w:ilvl w:val="0"/>
                <w:numId w:val="15"/>
              </w:numPr>
              <w:spacing w:before="7" w:after="240"/>
              <w:ind w:hanging="740"/>
              <w:rPr>
                <w:rFonts w:eastAsia="Times New Roman"/>
              </w:rPr>
            </w:pPr>
            <w:r w:rsidRPr="001B51C5">
              <w:rPr>
                <w:b/>
                <w:bCs/>
              </w:rPr>
              <w:t>Other:</w:t>
            </w:r>
            <w:r w:rsidR="00E73D99">
              <w:rPr>
                <w:b/>
                <w:bCs/>
              </w:rPr>
              <w:t xml:space="preserve"> </w:t>
            </w:r>
          </w:p>
        </w:tc>
        <w:tc>
          <w:tcPr>
            <w:tcW w:w="9540" w:type="dxa"/>
            <w:vMerge/>
          </w:tcPr>
          <w:p w14:paraId="04BBED7A" w14:textId="77777777" w:rsidR="00022744" w:rsidRPr="001B51C5" w:rsidRDefault="00022744" w:rsidP="00037620">
            <w:pPr>
              <w:widowControl w:val="0"/>
              <w:spacing w:before="7" w:after="240"/>
              <w:ind w:firstLine="60"/>
            </w:pPr>
          </w:p>
        </w:tc>
      </w:tr>
    </w:tbl>
    <w:p w14:paraId="0BA04D0C" w14:textId="77777777" w:rsidR="00985B34" w:rsidRPr="00985B34" w:rsidRDefault="00985B34" w:rsidP="008263D7">
      <w:pPr>
        <w:tabs>
          <w:tab w:val="left" w:pos="720"/>
        </w:tabs>
      </w:pPr>
    </w:p>
    <w:p w14:paraId="1FB86BA6" w14:textId="77777777" w:rsidR="00256DEF" w:rsidRDefault="00256DEF" w:rsidP="00DA2575">
      <w:pPr>
        <w:pStyle w:val="Heading1"/>
        <w:numPr>
          <w:ilvl w:val="0"/>
          <w:numId w:val="3"/>
        </w:numPr>
        <w:rPr>
          <w:b/>
          <w:bCs/>
        </w:rPr>
      </w:pPr>
      <w:r>
        <w:rPr>
          <w:b/>
          <w:bCs/>
        </w:rPr>
        <w:t>Roll-Up</w:t>
      </w:r>
      <w:r w:rsidR="000E0026">
        <w:rPr>
          <w:b/>
          <w:bCs/>
        </w:rPr>
        <w:t xml:space="preserve"> Summary</w:t>
      </w:r>
    </w:p>
    <w:p w14:paraId="0106922E" w14:textId="77777777" w:rsidR="0040565A" w:rsidRDefault="0040565A" w:rsidP="0040565A"/>
    <w:p w14:paraId="6F19A417" w14:textId="7764FDB0" w:rsidR="00E647E2" w:rsidRDefault="009A71A9" w:rsidP="003F1162">
      <w:pPr>
        <w:ind w:left="360"/>
      </w:pPr>
      <w:r>
        <w:t xml:space="preserve">Although </w:t>
      </w:r>
      <w:r w:rsidR="00E647E2">
        <w:t>states are not required to submit their</w:t>
      </w:r>
      <w:r>
        <w:t xml:space="preserve"> detailed plan</w:t>
      </w:r>
      <w:r w:rsidR="00E647E2">
        <w:t xml:space="preserve"> or this summary tool to CMS for approval</w:t>
      </w:r>
      <w:r>
        <w:t xml:space="preserve">, stakeholders may benefit by viewing a roll-up summary on a state’s unwinding approach. </w:t>
      </w:r>
      <w:r w:rsidR="0098408B">
        <w:t xml:space="preserve"> </w:t>
      </w:r>
      <w:r w:rsidR="0040565A">
        <w:t xml:space="preserve">This summary can be </w:t>
      </w:r>
      <w:r w:rsidR="00E211C5">
        <w:t xml:space="preserve">a </w:t>
      </w:r>
      <w:r w:rsidR="0040565A">
        <w:t xml:space="preserve">tool for providing an overview to various stakeholders and the public on the approach for resolving pending E&amp;E actions and resuming normal operations. </w:t>
      </w:r>
      <w:r>
        <w:t>This section provides</w:t>
      </w:r>
      <w:r w:rsidR="00F35782">
        <w:t xml:space="preserve"> a</w:t>
      </w:r>
      <w:r w:rsidR="00AE66E3">
        <w:t>n outline</w:t>
      </w:r>
      <w:r>
        <w:t xml:space="preserve"> </w:t>
      </w:r>
      <w:r w:rsidR="002A06C5">
        <w:t>states can adapt to</w:t>
      </w:r>
      <w:r>
        <w:t xml:space="preserve"> summarize </w:t>
      </w:r>
      <w:r w:rsidR="00F35782">
        <w:t>their</w:t>
      </w:r>
      <w:r>
        <w:t xml:space="preserve"> approach for resolving E&amp;E actions and resuming normal operations, using the information completed in the prior sections</w:t>
      </w:r>
      <w:r w:rsidR="002A06C5">
        <w:t>.</w:t>
      </w:r>
    </w:p>
    <w:p w14:paraId="45B90A01" w14:textId="77777777" w:rsidR="005260D0" w:rsidRPr="0040565A" w:rsidRDefault="005260D0" w:rsidP="0040565A">
      <w:pPr>
        <w:ind w:left="360"/>
      </w:pPr>
    </w:p>
    <w:p w14:paraId="66C1A7BF" w14:textId="77777777" w:rsidR="00196587" w:rsidRPr="00386AAB" w:rsidRDefault="00196587" w:rsidP="00386AAB">
      <w:pPr>
        <w:pStyle w:val="ListParagraph"/>
        <w:ind w:left="1080"/>
        <w:rPr>
          <w:rFonts w:asciiTheme="minorHAnsi" w:hAnsiTheme="minorHAnsi"/>
          <w:b/>
        </w:rPr>
      </w:pPr>
      <w:bookmarkStart w:id="7" w:name="_Hlk83570608"/>
      <w:bookmarkEnd w:id="6"/>
    </w:p>
    <w:tbl>
      <w:tblPr>
        <w:tblStyle w:val="TableGrid"/>
        <w:tblW w:w="16735" w:type="dxa"/>
        <w:tblInd w:w="720" w:type="dxa"/>
        <w:tblLook w:val="04A0" w:firstRow="1" w:lastRow="0" w:firstColumn="1" w:lastColumn="0" w:noHBand="0" w:noVBand="1"/>
      </w:tblPr>
      <w:tblGrid>
        <w:gridCol w:w="16735"/>
      </w:tblGrid>
      <w:tr w:rsidR="00B41043" w:rsidRPr="00B41043" w14:paraId="61C3E79C" w14:textId="77777777" w:rsidTr="6493D36F">
        <w:trPr>
          <w:cantSplit/>
          <w:trHeight w:val="548"/>
          <w:tblHeader/>
        </w:trPr>
        <w:tc>
          <w:tcPr>
            <w:tcW w:w="16735" w:type="dxa"/>
            <w:shd w:val="clear" w:color="auto" w:fill="4F81BD" w:themeFill="accent1"/>
          </w:tcPr>
          <w:p w14:paraId="2E4D2CFE" w14:textId="77777777" w:rsidR="0040565A" w:rsidRPr="00B41043" w:rsidRDefault="00B047E9" w:rsidP="0074184D">
            <w:pPr>
              <w:pStyle w:val="BodyText"/>
              <w:spacing w:before="7"/>
              <w:ind w:firstLine="0"/>
              <w:jc w:val="center"/>
              <w:rPr>
                <w:b/>
                <w:bCs/>
              </w:rPr>
            </w:pPr>
            <w:r w:rsidRPr="00B41043">
              <w:rPr>
                <w:b/>
                <w:bCs/>
              </w:rPr>
              <w:lastRenderedPageBreak/>
              <w:t>Roll-up Summary</w:t>
            </w:r>
          </w:p>
        </w:tc>
      </w:tr>
      <w:tr w:rsidR="0040565A" w:rsidRPr="00262D62" w14:paraId="55A527DA" w14:textId="77777777" w:rsidTr="6493D36F">
        <w:trPr>
          <w:cantSplit/>
          <w:trHeight w:val="1907"/>
        </w:trPr>
        <w:tc>
          <w:tcPr>
            <w:tcW w:w="16735" w:type="dxa"/>
            <w:shd w:val="clear" w:color="auto" w:fill="auto"/>
          </w:tcPr>
          <w:p w14:paraId="3399359F" w14:textId="77777777" w:rsidR="00B047E9" w:rsidRDefault="00B047E9" w:rsidP="00B047E9">
            <w:pPr>
              <w:pStyle w:val="ListParagraph"/>
              <w:ind w:left="360"/>
              <w:rPr>
                <w:rFonts w:asciiTheme="majorHAnsi" w:hAnsiTheme="majorHAnsi" w:cstheme="minorHAnsi"/>
                <w:b/>
                <w:bCs/>
                <w:color w:val="365F91" w:themeColor="accent1" w:themeShade="BF"/>
                <w:sz w:val="24"/>
                <w:szCs w:val="24"/>
              </w:rPr>
            </w:pPr>
          </w:p>
          <w:p w14:paraId="17AAE876" w14:textId="5C721753" w:rsidR="00B047E9" w:rsidRPr="00B047E9" w:rsidRDefault="00B047E9" w:rsidP="00DA2575">
            <w:pPr>
              <w:pStyle w:val="ListParagraph"/>
              <w:numPr>
                <w:ilvl w:val="0"/>
                <w:numId w:val="10"/>
              </w:numPr>
              <w:rPr>
                <w:rFonts w:asciiTheme="majorHAnsi" w:hAnsiTheme="majorHAnsi" w:cstheme="minorHAnsi"/>
                <w:b/>
                <w:bCs/>
                <w:color w:val="365F91" w:themeColor="accent1" w:themeShade="BF"/>
                <w:sz w:val="24"/>
                <w:szCs w:val="24"/>
              </w:rPr>
            </w:pPr>
            <w:r>
              <w:rPr>
                <w:rFonts w:asciiTheme="majorHAnsi" w:hAnsiTheme="majorHAnsi" w:cstheme="minorHAnsi"/>
                <w:b/>
                <w:bCs/>
                <w:color w:val="365F91" w:themeColor="accent1" w:themeShade="BF"/>
                <w:sz w:val="24"/>
                <w:szCs w:val="24"/>
              </w:rPr>
              <w:t>Overall Approach for Renewals</w:t>
            </w:r>
            <w:r w:rsidR="003010CD">
              <w:rPr>
                <w:rFonts w:asciiTheme="majorHAnsi" w:hAnsiTheme="majorHAnsi" w:cstheme="minorHAnsi"/>
                <w:b/>
                <w:bCs/>
                <w:color w:val="365F91" w:themeColor="accent1" w:themeShade="BF"/>
                <w:sz w:val="24"/>
                <w:szCs w:val="24"/>
              </w:rPr>
              <w:t>,</w:t>
            </w:r>
            <w:r>
              <w:rPr>
                <w:rFonts w:asciiTheme="majorHAnsi" w:hAnsiTheme="majorHAnsi" w:cstheme="minorHAnsi"/>
                <w:b/>
                <w:bCs/>
                <w:color w:val="365F91" w:themeColor="accent1" w:themeShade="BF"/>
                <w:sz w:val="24"/>
                <w:szCs w:val="24"/>
              </w:rPr>
              <w:t xml:space="preserve"> Application Processing, </w:t>
            </w:r>
            <w:r w:rsidR="006914AE">
              <w:rPr>
                <w:rFonts w:asciiTheme="majorHAnsi" w:hAnsiTheme="majorHAnsi" w:cstheme="minorHAnsi"/>
                <w:b/>
                <w:bCs/>
                <w:color w:val="365F91" w:themeColor="accent1" w:themeShade="BF"/>
                <w:sz w:val="24"/>
                <w:szCs w:val="24"/>
              </w:rPr>
              <w:t xml:space="preserve">and </w:t>
            </w:r>
            <w:r w:rsidR="003010CD">
              <w:rPr>
                <w:rFonts w:asciiTheme="majorHAnsi" w:hAnsiTheme="majorHAnsi" w:cstheme="minorHAnsi"/>
                <w:b/>
                <w:bCs/>
                <w:color w:val="365F91" w:themeColor="accent1" w:themeShade="BF"/>
                <w:sz w:val="24"/>
                <w:szCs w:val="24"/>
              </w:rPr>
              <w:t xml:space="preserve">Fair </w:t>
            </w:r>
            <w:r w:rsidR="003B79B3">
              <w:rPr>
                <w:rFonts w:asciiTheme="majorHAnsi" w:hAnsiTheme="majorHAnsi" w:cstheme="minorHAnsi"/>
                <w:b/>
                <w:bCs/>
                <w:color w:val="365F91" w:themeColor="accent1" w:themeShade="BF"/>
                <w:sz w:val="24"/>
                <w:szCs w:val="24"/>
              </w:rPr>
              <w:t>H</w:t>
            </w:r>
            <w:r w:rsidR="003010CD">
              <w:rPr>
                <w:rFonts w:asciiTheme="majorHAnsi" w:hAnsiTheme="majorHAnsi" w:cstheme="minorHAnsi"/>
                <w:b/>
                <w:bCs/>
                <w:color w:val="365F91" w:themeColor="accent1" w:themeShade="BF"/>
                <w:sz w:val="24"/>
                <w:szCs w:val="24"/>
              </w:rPr>
              <w:t>earings</w:t>
            </w:r>
            <w:r w:rsidR="00621661">
              <w:rPr>
                <w:rFonts w:asciiTheme="majorHAnsi" w:hAnsiTheme="majorHAnsi" w:cstheme="minorHAnsi"/>
                <w:b/>
                <w:bCs/>
                <w:color w:val="365F91" w:themeColor="accent1" w:themeShade="BF"/>
                <w:sz w:val="24"/>
                <w:szCs w:val="24"/>
              </w:rPr>
              <w:t>,</w:t>
            </w:r>
            <w:r w:rsidR="006914AE">
              <w:rPr>
                <w:rFonts w:asciiTheme="majorHAnsi" w:hAnsiTheme="majorHAnsi" w:cstheme="minorHAnsi"/>
                <w:b/>
                <w:bCs/>
                <w:color w:val="365F91" w:themeColor="accent1" w:themeShade="BF"/>
                <w:sz w:val="24"/>
                <w:szCs w:val="24"/>
              </w:rPr>
              <w:t xml:space="preserve"> </w:t>
            </w:r>
            <w:r>
              <w:rPr>
                <w:rFonts w:asciiTheme="majorHAnsi" w:hAnsiTheme="majorHAnsi" w:cstheme="minorHAnsi"/>
                <w:b/>
                <w:bCs/>
                <w:color w:val="365F91" w:themeColor="accent1" w:themeShade="BF"/>
                <w:sz w:val="24"/>
                <w:szCs w:val="24"/>
              </w:rPr>
              <w:t xml:space="preserve">including populations prioritized </w:t>
            </w:r>
            <w:r w:rsidRPr="00B047E9">
              <w:rPr>
                <w:rFonts w:asciiTheme="majorHAnsi" w:hAnsiTheme="majorHAnsi" w:cstheme="minorHAnsi"/>
                <w:color w:val="365F91" w:themeColor="accent1" w:themeShade="BF"/>
                <w:sz w:val="24"/>
                <w:szCs w:val="24"/>
              </w:rPr>
              <w:t>(2 paragraphs)</w:t>
            </w:r>
          </w:p>
          <w:p w14:paraId="12A4A63A" w14:textId="77777777" w:rsidR="00B047E9" w:rsidRPr="00B047E9" w:rsidRDefault="00B047E9" w:rsidP="00DA2575">
            <w:pPr>
              <w:pStyle w:val="ListParagraph"/>
              <w:numPr>
                <w:ilvl w:val="0"/>
                <w:numId w:val="10"/>
              </w:numPr>
              <w:rPr>
                <w:rFonts w:asciiTheme="majorHAnsi" w:hAnsiTheme="majorHAnsi" w:cstheme="minorHAnsi"/>
                <w:b/>
                <w:bCs/>
                <w:color w:val="365F91" w:themeColor="accent1" w:themeShade="BF"/>
                <w:sz w:val="24"/>
                <w:szCs w:val="24"/>
              </w:rPr>
            </w:pPr>
            <w:r w:rsidRPr="00B047E9">
              <w:rPr>
                <w:rFonts w:asciiTheme="majorHAnsi" w:hAnsiTheme="majorHAnsi" w:cstheme="minorHAnsi"/>
                <w:b/>
                <w:bCs/>
                <w:color w:val="365F91" w:themeColor="accent1" w:themeShade="BF"/>
                <w:sz w:val="24"/>
                <w:szCs w:val="24"/>
              </w:rPr>
              <w:t xml:space="preserve">Organization and Staffing </w:t>
            </w:r>
            <w:r w:rsidRPr="00B047E9">
              <w:rPr>
                <w:rFonts w:asciiTheme="majorHAnsi" w:hAnsiTheme="majorHAnsi" w:cstheme="minorHAnsi"/>
                <w:color w:val="365F91" w:themeColor="accent1" w:themeShade="BF"/>
                <w:sz w:val="24"/>
                <w:szCs w:val="24"/>
              </w:rPr>
              <w:t>(1 paragraph)</w:t>
            </w:r>
          </w:p>
          <w:p w14:paraId="5189AAC1" w14:textId="77777777" w:rsidR="00B047E9" w:rsidRPr="00B047E9" w:rsidRDefault="00B047E9" w:rsidP="00DA2575">
            <w:pPr>
              <w:pStyle w:val="ListParagraph"/>
              <w:numPr>
                <w:ilvl w:val="0"/>
                <w:numId w:val="10"/>
              </w:numPr>
              <w:rPr>
                <w:rFonts w:asciiTheme="majorHAnsi" w:hAnsiTheme="majorHAnsi" w:cstheme="minorHAnsi"/>
                <w:b/>
                <w:bCs/>
                <w:color w:val="365F91" w:themeColor="accent1" w:themeShade="BF"/>
                <w:sz w:val="24"/>
                <w:szCs w:val="24"/>
              </w:rPr>
            </w:pPr>
            <w:r w:rsidRPr="00B047E9">
              <w:rPr>
                <w:rFonts w:asciiTheme="majorHAnsi" w:hAnsiTheme="majorHAnsi" w:cstheme="minorHAnsi"/>
                <w:b/>
                <w:bCs/>
                <w:color w:val="365F91" w:themeColor="accent1" w:themeShade="BF"/>
                <w:sz w:val="24"/>
                <w:szCs w:val="24"/>
              </w:rPr>
              <w:t xml:space="preserve">Policy Changes </w:t>
            </w:r>
            <w:r w:rsidRPr="00B047E9">
              <w:rPr>
                <w:rFonts w:asciiTheme="majorHAnsi" w:hAnsiTheme="majorHAnsi" w:cstheme="minorHAnsi"/>
                <w:color w:val="365F91" w:themeColor="accent1" w:themeShade="BF"/>
                <w:sz w:val="24"/>
                <w:szCs w:val="24"/>
              </w:rPr>
              <w:t>(1 paragraph)</w:t>
            </w:r>
          </w:p>
          <w:p w14:paraId="296883FC" w14:textId="77777777" w:rsidR="00B047E9" w:rsidRPr="00B047E9" w:rsidRDefault="00B047E9" w:rsidP="00DA2575">
            <w:pPr>
              <w:pStyle w:val="ListParagraph"/>
              <w:numPr>
                <w:ilvl w:val="0"/>
                <w:numId w:val="10"/>
              </w:numPr>
              <w:rPr>
                <w:rFonts w:asciiTheme="majorHAnsi" w:hAnsiTheme="majorHAnsi" w:cstheme="minorHAnsi"/>
                <w:b/>
                <w:bCs/>
                <w:color w:val="365F91" w:themeColor="accent1" w:themeShade="BF"/>
                <w:sz w:val="24"/>
                <w:szCs w:val="24"/>
              </w:rPr>
            </w:pPr>
            <w:r w:rsidRPr="00B047E9">
              <w:rPr>
                <w:rFonts w:asciiTheme="majorHAnsi" w:hAnsiTheme="majorHAnsi" w:cstheme="minorHAnsi"/>
                <w:b/>
                <w:bCs/>
                <w:color w:val="365F91" w:themeColor="accent1" w:themeShade="BF"/>
                <w:sz w:val="24"/>
                <w:szCs w:val="24"/>
              </w:rPr>
              <w:t>Operations and Systems Changes</w:t>
            </w:r>
            <w:r>
              <w:rPr>
                <w:rFonts w:asciiTheme="majorHAnsi" w:hAnsiTheme="majorHAnsi" w:cstheme="minorHAnsi"/>
                <w:b/>
                <w:bCs/>
                <w:color w:val="365F91" w:themeColor="accent1" w:themeShade="BF"/>
                <w:sz w:val="24"/>
                <w:szCs w:val="24"/>
              </w:rPr>
              <w:t xml:space="preserve"> </w:t>
            </w:r>
            <w:r w:rsidRPr="00B047E9">
              <w:rPr>
                <w:rFonts w:asciiTheme="majorHAnsi" w:hAnsiTheme="majorHAnsi" w:cstheme="minorHAnsi"/>
                <w:color w:val="365F91" w:themeColor="accent1" w:themeShade="BF"/>
                <w:sz w:val="24"/>
                <w:szCs w:val="24"/>
              </w:rPr>
              <w:t>(1 paragraph)</w:t>
            </w:r>
          </w:p>
          <w:p w14:paraId="299C142B" w14:textId="77777777" w:rsidR="00B047E9" w:rsidRPr="00B047E9" w:rsidRDefault="00B047E9" w:rsidP="00DA2575">
            <w:pPr>
              <w:pStyle w:val="ListParagraph"/>
              <w:numPr>
                <w:ilvl w:val="0"/>
                <w:numId w:val="10"/>
              </w:numPr>
              <w:rPr>
                <w:rFonts w:asciiTheme="majorHAnsi" w:hAnsiTheme="majorHAnsi" w:cstheme="minorHAnsi"/>
                <w:b/>
                <w:bCs/>
                <w:color w:val="365F91" w:themeColor="accent1" w:themeShade="BF"/>
                <w:sz w:val="24"/>
                <w:szCs w:val="24"/>
              </w:rPr>
            </w:pPr>
            <w:r w:rsidRPr="00B047E9">
              <w:rPr>
                <w:rFonts w:asciiTheme="majorHAnsi" w:hAnsiTheme="majorHAnsi" w:cstheme="minorHAnsi"/>
                <w:b/>
                <w:bCs/>
                <w:color w:val="365F91" w:themeColor="accent1" w:themeShade="BF"/>
                <w:sz w:val="24"/>
                <w:szCs w:val="24"/>
              </w:rPr>
              <w:t>Systems Changes</w:t>
            </w:r>
            <w:r>
              <w:rPr>
                <w:rFonts w:asciiTheme="majorHAnsi" w:hAnsiTheme="majorHAnsi" w:cstheme="minorHAnsi"/>
                <w:b/>
                <w:bCs/>
                <w:color w:val="365F91" w:themeColor="accent1" w:themeShade="BF"/>
                <w:sz w:val="24"/>
                <w:szCs w:val="24"/>
              </w:rPr>
              <w:t xml:space="preserve"> </w:t>
            </w:r>
            <w:r w:rsidRPr="00B047E9">
              <w:rPr>
                <w:rFonts w:asciiTheme="majorHAnsi" w:hAnsiTheme="majorHAnsi" w:cstheme="minorHAnsi"/>
                <w:color w:val="365F91" w:themeColor="accent1" w:themeShade="BF"/>
                <w:sz w:val="24"/>
                <w:szCs w:val="24"/>
              </w:rPr>
              <w:t>(1 paragraph)</w:t>
            </w:r>
          </w:p>
          <w:p w14:paraId="63BE833F" w14:textId="77777777" w:rsidR="00B047E9" w:rsidRPr="00985B34" w:rsidRDefault="00B047E9" w:rsidP="00DA2575">
            <w:pPr>
              <w:pStyle w:val="ListParagraph"/>
              <w:numPr>
                <w:ilvl w:val="0"/>
                <w:numId w:val="10"/>
              </w:numPr>
              <w:rPr>
                <w:rFonts w:asciiTheme="majorHAnsi" w:hAnsiTheme="majorHAnsi" w:cstheme="minorHAnsi"/>
                <w:b/>
                <w:bCs/>
                <w:color w:val="365F91" w:themeColor="accent1" w:themeShade="BF"/>
                <w:sz w:val="24"/>
                <w:szCs w:val="24"/>
              </w:rPr>
            </w:pPr>
            <w:r w:rsidRPr="00B047E9">
              <w:rPr>
                <w:rFonts w:asciiTheme="majorHAnsi" w:hAnsiTheme="majorHAnsi" w:cstheme="minorHAnsi"/>
                <w:b/>
                <w:bCs/>
                <w:color w:val="365F91" w:themeColor="accent1" w:themeShade="BF"/>
                <w:sz w:val="24"/>
                <w:szCs w:val="24"/>
              </w:rPr>
              <w:t>Outreach and Communications</w:t>
            </w:r>
            <w:r>
              <w:rPr>
                <w:rFonts w:asciiTheme="majorHAnsi" w:hAnsiTheme="majorHAnsi" w:cstheme="minorHAnsi"/>
                <w:b/>
                <w:bCs/>
                <w:color w:val="365F91" w:themeColor="accent1" w:themeShade="BF"/>
                <w:sz w:val="24"/>
                <w:szCs w:val="24"/>
              </w:rPr>
              <w:t xml:space="preserve"> </w:t>
            </w:r>
            <w:r w:rsidRPr="00B047E9">
              <w:rPr>
                <w:rFonts w:asciiTheme="majorHAnsi" w:hAnsiTheme="majorHAnsi" w:cstheme="minorHAnsi"/>
                <w:color w:val="365F91" w:themeColor="accent1" w:themeShade="BF"/>
                <w:sz w:val="24"/>
                <w:szCs w:val="24"/>
              </w:rPr>
              <w:t>(1 paragraph)</w:t>
            </w:r>
          </w:p>
          <w:p w14:paraId="1EBDE89F" w14:textId="77777777" w:rsidR="00985B34" w:rsidRPr="00985B34" w:rsidRDefault="00985B34" w:rsidP="00DA2575">
            <w:pPr>
              <w:pStyle w:val="ListParagraph"/>
              <w:numPr>
                <w:ilvl w:val="0"/>
                <w:numId w:val="10"/>
              </w:numPr>
              <w:rPr>
                <w:rFonts w:asciiTheme="majorHAnsi" w:hAnsiTheme="majorHAnsi" w:cstheme="minorHAnsi"/>
                <w:color w:val="365F91" w:themeColor="accent1" w:themeShade="BF"/>
                <w:sz w:val="24"/>
                <w:szCs w:val="24"/>
              </w:rPr>
            </w:pPr>
            <w:r>
              <w:rPr>
                <w:rFonts w:asciiTheme="majorHAnsi" w:hAnsiTheme="majorHAnsi" w:cstheme="minorHAnsi"/>
                <w:b/>
                <w:bCs/>
                <w:color w:val="365F91" w:themeColor="accent1" w:themeShade="BF"/>
                <w:sz w:val="24"/>
                <w:szCs w:val="24"/>
              </w:rPr>
              <w:t>High Level Timeline</w:t>
            </w:r>
            <w:r w:rsidRPr="00985B34">
              <w:rPr>
                <w:rFonts w:asciiTheme="majorHAnsi" w:hAnsiTheme="majorHAnsi" w:cstheme="minorHAnsi"/>
                <w:color w:val="365F91" w:themeColor="accent1" w:themeShade="BF"/>
                <w:sz w:val="24"/>
                <w:szCs w:val="24"/>
              </w:rPr>
              <w:t xml:space="preserve"> (Graphic snapshot)</w:t>
            </w:r>
          </w:p>
          <w:p w14:paraId="7691E257" w14:textId="77777777" w:rsidR="0040565A" w:rsidRPr="00262D62" w:rsidRDefault="0040565A" w:rsidP="0074184D">
            <w:pPr>
              <w:pStyle w:val="BodyText"/>
              <w:spacing w:before="7"/>
              <w:ind w:firstLine="0"/>
              <w:jc w:val="center"/>
              <w:rPr>
                <w:color w:val="FFFFFF" w:themeColor="background1"/>
              </w:rPr>
            </w:pPr>
          </w:p>
        </w:tc>
      </w:tr>
      <w:bookmarkEnd w:id="7"/>
    </w:tbl>
    <w:p w14:paraId="053BB35F" w14:textId="707C0F9E" w:rsidR="00022117" w:rsidRDefault="00022117" w:rsidP="00A44082">
      <w:pPr>
        <w:rPr>
          <w:rFonts w:asciiTheme="minorHAnsi" w:hAnsiTheme="minorHAnsi" w:cstheme="minorHAnsi"/>
          <w:sz w:val="20"/>
          <w:szCs w:val="20"/>
        </w:rPr>
      </w:pPr>
    </w:p>
    <w:p w14:paraId="3F980E60" w14:textId="77777777" w:rsidR="00386C08" w:rsidRDefault="00386C08">
      <w:pPr>
        <w:rPr>
          <w:rFonts w:asciiTheme="minorHAnsi" w:hAnsiTheme="minorHAnsi" w:cstheme="minorHAnsi"/>
          <w:b/>
          <w:bCs/>
        </w:rPr>
      </w:pPr>
      <w:r>
        <w:rPr>
          <w:rFonts w:asciiTheme="minorHAnsi" w:hAnsiTheme="minorHAnsi" w:cstheme="minorHAnsi"/>
          <w:b/>
          <w:bCs/>
        </w:rPr>
        <w:br w:type="page"/>
      </w:r>
    </w:p>
    <w:p w14:paraId="2C37B734" w14:textId="11533154" w:rsidR="00256DEF" w:rsidRPr="0098408B" w:rsidRDefault="00D83861" w:rsidP="003F1162">
      <w:pPr>
        <w:jc w:val="center"/>
        <w:rPr>
          <w:rFonts w:asciiTheme="minorHAnsi" w:hAnsiTheme="minorHAnsi" w:cstheme="minorHAnsi"/>
          <w:sz w:val="28"/>
          <w:szCs w:val="28"/>
        </w:rPr>
      </w:pPr>
      <w:r w:rsidRPr="0098408B">
        <w:rPr>
          <w:rFonts w:asciiTheme="minorHAnsi" w:hAnsiTheme="minorHAnsi" w:cstheme="minorHAnsi"/>
          <w:b/>
          <w:bCs/>
          <w:sz w:val="28"/>
          <w:szCs w:val="28"/>
        </w:rPr>
        <w:lastRenderedPageBreak/>
        <w:t xml:space="preserve">Appendix A: </w:t>
      </w:r>
      <w:r w:rsidR="00BE64FA" w:rsidRPr="0098408B">
        <w:rPr>
          <w:b/>
          <w:bCs/>
          <w:sz w:val="28"/>
          <w:szCs w:val="28"/>
        </w:rPr>
        <w:t>Guidance</w:t>
      </w:r>
      <w:r w:rsidR="005A0EBD" w:rsidRPr="0098408B">
        <w:rPr>
          <w:b/>
          <w:bCs/>
          <w:sz w:val="28"/>
          <w:szCs w:val="28"/>
        </w:rPr>
        <w:t xml:space="preserve"> and Resources</w:t>
      </w:r>
      <w:r w:rsidRPr="0098408B">
        <w:rPr>
          <w:b/>
          <w:bCs/>
          <w:sz w:val="28"/>
          <w:szCs w:val="28"/>
        </w:rPr>
        <w:t xml:space="preserve"> for States</w:t>
      </w:r>
    </w:p>
    <w:p w14:paraId="6CBD461D" w14:textId="44426E11" w:rsidR="00D83861" w:rsidRPr="00C465BB" w:rsidRDefault="00D83861" w:rsidP="00D83861">
      <w:pPr>
        <w:ind w:left="720"/>
        <w:jc w:val="center"/>
        <w:rPr>
          <w:b/>
          <w:bCs/>
        </w:rPr>
      </w:pPr>
    </w:p>
    <w:p w14:paraId="5AE1FAAF" w14:textId="33E47669" w:rsidR="005A0EBD" w:rsidRPr="00A44082" w:rsidRDefault="005A0EBD" w:rsidP="00A44082">
      <w:pPr>
        <w:pStyle w:val="Heading1"/>
        <w:rPr>
          <w:b/>
          <w:bCs/>
        </w:rPr>
      </w:pPr>
      <w:r w:rsidRPr="00A44082">
        <w:rPr>
          <w:b/>
          <w:bCs/>
        </w:rPr>
        <w:t>Guidance</w:t>
      </w:r>
    </w:p>
    <w:p w14:paraId="5E9F72C8" w14:textId="77777777" w:rsidR="005A0EBD" w:rsidRPr="00A44082" w:rsidRDefault="005A0EBD" w:rsidP="00A44082">
      <w:pPr>
        <w:rPr>
          <w:rFonts w:asciiTheme="minorHAnsi" w:hAnsiTheme="minorHAnsi" w:cstheme="minorHAnsi"/>
        </w:rPr>
      </w:pPr>
    </w:p>
    <w:p w14:paraId="57CD4D0E" w14:textId="1EC5C26E" w:rsidR="00A5060B" w:rsidRPr="007E424F" w:rsidRDefault="00A5060B" w:rsidP="00DA2575">
      <w:pPr>
        <w:pStyle w:val="ListParagraph"/>
        <w:numPr>
          <w:ilvl w:val="0"/>
          <w:numId w:val="30"/>
        </w:numPr>
        <w:ind w:left="360"/>
        <w:rPr>
          <w:rFonts w:asciiTheme="minorHAnsi" w:hAnsiTheme="minorHAnsi" w:cstheme="minorHAnsi"/>
        </w:rPr>
      </w:pPr>
      <w:r w:rsidRPr="007E424F">
        <w:rPr>
          <w:rFonts w:asciiTheme="minorHAnsi" w:hAnsiTheme="minorHAnsi" w:cstheme="minorHAnsi"/>
          <w:b/>
          <w:bCs/>
        </w:rPr>
        <w:t>CMCS Informational Bulletin (CIB), “Medicaid and CHIP Renewal Requirements</w:t>
      </w:r>
      <w:r w:rsidRPr="007E424F">
        <w:rPr>
          <w:rFonts w:asciiTheme="minorHAnsi" w:hAnsiTheme="minorHAnsi" w:cstheme="minorHAnsi"/>
        </w:rPr>
        <w:t xml:space="preserve"> (“Renewal CIB”): Reminds states about current federal requirements and expectations codified in existing regulations at 42 C.F.R. §§ 435.916 and 457.343 for completing redeterminations of eligibility for Medicaid and Children’s Health Insurance Program (CHIP) </w:t>
      </w:r>
      <w:r w:rsidR="004E37D3">
        <w:rPr>
          <w:rFonts w:asciiTheme="minorHAnsi" w:hAnsiTheme="minorHAnsi" w:cstheme="minorHAnsi"/>
        </w:rPr>
        <w:t>enrollees</w:t>
      </w:r>
      <w:r w:rsidR="003C41BC">
        <w:rPr>
          <w:rFonts w:asciiTheme="minorHAnsi" w:hAnsiTheme="minorHAnsi" w:cstheme="minorHAnsi"/>
        </w:rPr>
        <w:t xml:space="preserve">. </w:t>
      </w:r>
      <w:r w:rsidR="0098408B">
        <w:rPr>
          <w:rFonts w:asciiTheme="minorHAnsi" w:hAnsiTheme="minorHAnsi" w:cstheme="minorHAnsi"/>
        </w:rPr>
        <w:t xml:space="preserve"> </w:t>
      </w:r>
      <w:r w:rsidRPr="007E424F">
        <w:rPr>
          <w:rFonts w:asciiTheme="minorHAnsi" w:hAnsiTheme="minorHAnsi" w:cstheme="minorHAnsi"/>
        </w:rPr>
        <w:t xml:space="preserve">These requirements are intended to ease the administrative burden on states and </w:t>
      </w:r>
      <w:r w:rsidR="004E37D3">
        <w:rPr>
          <w:rFonts w:asciiTheme="minorHAnsi" w:hAnsiTheme="minorHAnsi" w:cstheme="minorHAnsi"/>
        </w:rPr>
        <w:t>enrollees</w:t>
      </w:r>
      <w:r w:rsidRPr="007E424F">
        <w:rPr>
          <w:rFonts w:asciiTheme="minorHAnsi" w:hAnsiTheme="minorHAnsi" w:cstheme="minorHAnsi"/>
        </w:rPr>
        <w:t xml:space="preserve"> by limiting requests for information to information needed to determine eligibility, ensuring eligibility is assessed on all bases before determining an individual is ineligible and promoting seamless transitions of coverage, and minimizing</w:t>
      </w:r>
      <w:r w:rsidR="004E37D3">
        <w:rPr>
          <w:rFonts w:asciiTheme="minorHAnsi" w:hAnsiTheme="minorHAnsi" w:cstheme="minorHAnsi"/>
        </w:rPr>
        <w:t xml:space="preserve"> </w:t>
      </w:r>
      <w:r w:rsidRPr="007E424F">
        <w:rPr>
          <w:rFonts w:asciiTheme="minorHAnsi" w:hAnsiTheme="minorHAnsi" w:cstheme="minorHAnsi"/>
        </w:rPr>
        <w:t xml:space="preserve">churn on and off Medicaid and CHIP coverage for procedural reasons. States may access the Renewal CIB at </w:t>
      </w:r>
      <w:hyperlink r:id="rId30" w:tooltip="Medicaid and Children’s Health Insurance Program (CHIP) Renewal Requirements" w:history="1">
        <w:r w:rsidR="00DA3848" w:rsidRPr="00BB6EF4">
          <w:rPr>
            <w:rStyle w:val="Hyperlink"/>
            <w:rFonts w:asciiTheme="minorHAnsi" w:hAnsiTheme="minorHAnsi" w:cstheme="minorHAnsi"/>
          </w:rPr>
          <w:t>https://www.medicaid.gov/federal-policy-guidance/downloads/cib120420.pdf</w:t>
        </w:r>
      </w:hyperlink>
      <w:r w:rsidRPr="007E424F">
        <w:rPr>
          <w:rFonts w:asciiTheme="minorHAnsi" w:hAnsiTheme="minorHAnsi" w:cstheme="minorHAnsi"/>
        </w:rPr>
        <w:t xml:space="preserve">. </w:t>
      </w:r>
    </w:p>
    <w:p w14:paraId="74919978" w14:textId="77777777" w:rsidR="00A5060B" w:rsidRPr="007E424F" w:rsidRDefault="00A5060B" w:rsidP="0098408B">
      <w:pPr>
        <w:pStyle w:val="ListParagraph"/>
        <w:ind w:left="450"/>
        <w:rPr>
          <w:rFonts w:asciiTheme="minorHAnsi" w:hAnsiTheme="minorHAnsi" w:cstheme="minorHAnsi"/>
        </w:rPr>
      </w:pPr>
    </w:p>
    <w:p w14:paraId="547B3916" w14:textId="5C42C504" w:rsidR="005A0EBD" w:rsidRDefault="005A0EBD" w:rsidP="00DA2575">
      <w:pPr>
        <w:pStyle w:val="ListParagraph"/>
        <w:numPr>
          <w:ilvl w:val="0"/>
          <w:numId w:val="29"/>
        </w:numPr>
        <w:tabs>
          <w:tab w:val="left" w:pos="1800"/>
        </w:tabs>
        <w:ind w:left="360"/>
        <w:rPr>
          <w:rFonts w:asciiTheme="minorHAnsi" w:hAnsiTheme="minorHAnsi" w:cstheme="minorHAnsi"/>
        </w:rPr>
      </w:pPr>
      <w:r w:rsidRPr="007E424F">
        <w:rPr>
          <w:rFonts w:asciiTheme="minorHAnsi" w:hAnsiTheme="minorHAnsi" w:cstheme="minorHAnsi"/>
          <w:b/>
          <w:bCs/>
        </w:rPr>
        <w:t>State Health Official Letter (SHO) #20-004, “Planning for the Resumption of Normal State Medicaid, Children’s Health Insurance Program (CHIP), and Basic Health Program (BHP) Operations Upon Conclusion of the COVID-19 Public Health Emergency</w:t>
      </w:r>
      <w:r w:rsidRPr="007E424F">
        <w:rPr>
          <w:rFonts w:asciiTheme="minorHAnsi" w:hAnsiTheme="minorHAnsi" w:cstheme="minorHAnsi"/>
        </w:rPr>
        <w:t xml:space="preserve"> (“December 2020 SHO”): Provides guidance to states on planning for the eventual return to regular operations, including ending temporary authorities when the PHE concludes, making temporary changes permanent in certain circumstances, procedures for ending coverage and policies authorized under expiring FFCRA provisions, and addressing pending eligibility and enrollment actions that developed during the PHE</w:t>
      </w:r>
      <w:r w:rsidR="003C41BC">
        <w:rPr>
          <w:rFonts w:asciiTheme="minorHAnsi" w:hAnsiTheme="minorHAnsi" w:cstheme="minorHAnsi"/>
        </w:rPr>
        <w:t>.</w:t>
      </w:r>
      <w:r w:rsidR="0098408B">
        <w:rPr>
          <w:rFonts w:asciiTheme="minorHAnsi" w:hAnsiTheme="minorHAnsi" w:cstheme="minorHAnsi"/>
        </w:rPr>
        <w:t xml:space="preserve"> </w:t>
      </w:r>
      <w:r w:rsidR="003C41BC">
        <w:rPr>
          <w:rFonts w:asciiTheme="minorHAnsi" w:hAnsiTheme="minorHAnsi" w:cstheme="minorHAnsi"/>
        </w:rPr>
        <w:t xml:space="preserve"> </w:t>
      </w:r>
      <w:r w:rsidRPr="007E424F">
        <w:rPr>
          <w:rFonts w:asciiTheme="minorHAnsi" w:hAnsiTheme="minorHAnsi" w:cstheme="minorHAnsi"/>
        </w:rPr>
        <w:t xml:space="preserve">States may access the December 2020 SHO at </w:t>
      </w:r>
      <w:hyperlink r:id="rId31" w:tooltip="Planning for the Resumption of Normal State Medicaid, Children’s Health Insurance Program (CHIP), and Basic Health Program (BHP) Operations Upon Conclusion of the COVID-19 Public Health Emergency " w:history="1">
        <w:r w:rsidRPr="00BB6EF4">
          <w:rPr>
            <w:rStyle w:val="Hyperlink"/>
            <w:rFonts w:asciiTheme="minorHAnsi" w:hAnsiTheme="minorHAnsi" w:cstheme="minorHAnsi"/>
          </w:rPr>
          <w:t>https://www.medicaid.gov/federal-policy-guidance/downloads/sho20004.pdf</w:t>
        </w:r>
      </w:hyperlink>
      <w:r w:rsidRPr="007E424F">
        <w:rPr>
          <w:rFonts w:asciiTheme="minorHAnsi" w:hAnsiTheme="minorHAnsi" w:cstheme="minorHAnsi"/>
        </w:rPr>
        <w:t xml:space="preserve">. </w:t>
      </w:r>
    </w:p>
    <w:p w14:paraId="1649EF97" w14:textId="77777777" w:rsidR="005A0EBD" w:rsidRPr="007A2FCF" w:rsidRDefault="005A0EBD" w:rsidP="0098408B">
      <w:pPr>
        <w:pStyle w:val="ListParagraph"/>
        <w:tabs>
          <w:tab w:val="left" w:pos="1800"/>
        </w:tabs>
        <w:ind w:left="360"/>
        <w:rPr>
          <w:rFonts w:asciiTheme="minorHAnsi" w:hAnsiTheme="minorHAnsi" w:cstheme="minorHAnsi"/>
        </w:rPr>
      </w:pPr>
    </w:p>
    <w:p w14:paraId="0BEF742E" w14:textId="725D3DD1" w:rsidR="003D0259" w:rsidRDefault="005A0EBD" w:rsidP="00DA2575">
      <w:pPr>
        <w:pStyle w:val="ListParagraph"/>
        <w:numPr>
          <w:ilvl w:val="0"/>
          <w:numId w:val="29"/>
        </w:numPr>
        <w:tabs>
          <w:tab w:val="left" w:pos="1800"/>
        </w:tabs>
        <w:ind w:left="360"/>
        <w:rPr>
          <w:rStyle w:val="Hyperlink"/>
          <w:rFonts w:asciiTheme="minorHAnsi" w:hAnsiTheme="minorHAnsi" w:cstheme="minorHAnsi"/>
          <w:color w:val="auto"/>
          <w:u w:val="none"/>
        </w:rPr>
      </w:pPr>
      <w:r w:rsidRPr="007A2FCF">
        <w:rPr>
          <w:rFonts w:asciiTheme="minorHAnsi" w:hAnsiTheme="minorHAnsi" w:cstheme="minorHAnsi"/>
          <w:b/>
          <w:bCs/>
        </w:rPr>
        <w:t>State Health Official Letter (SHO) #21-002, “Updated Guidance Related to Planning for the Resumption of Normal State Medicaid, Children’s Health Insurance Program (CHIP), and Basic Health Program Operations Upon Conclusion of the COVID-19 Public Health Emergency</w:t>
      </w:r>
      <w:r w:rsidRPr="007A2FCF">
        <w:rPr>
          <w:rFonts w:asciiTheme="minorHAnsi" w:hAnsiTheme="minorHAnsi" w:cstheme="minorHAnsi"/>
        </w:rPr>
        <w:t xml:space="preserve"> (“August 2021 SHO”): Updates guidance in the December 2020 SHO to provide states 12-months after the PHE ends to complete pending eligibility and enrollment work and ensures states renew eligibility for all </w:t>
      </w:r>
      <w:r w:rsidR="004E37D3">
        <w:rPr>
          <w:rFonts w:asciiTheme="minorHAnsi" w:hAnsiTheme="minorHAnsi" w:cstheme="minorHAnsi"/>
        </w:rPr>
        <w:t>enrollees</w:t>
      </w:r>
      <w:r w:rsidRPr="007A2FCF">
        <w:rPr>
          <w:rFonts w:asciiTheme="minorHAnsi" w:hAnsiTheme="minorHAnsi" w:cstheme="minorHAnsi"/>
        </w:rPr>
        <w:t xml:space="preserve"> prior to taking any adverse action</w:t>
      </w:r>
      <w:r w:rsidR="003C41BC">
        <w:rPr>
          <w:rFonts w:asciiTheme="minorHAnsi" w:hAnsiTheme="minorHAnsi" w:cstheme="minorHAnsi"/>
        </w:rPr>
        <w:t xml:space="preserve">. </w:t>
      </w:r>
      <w:r w:rsidR="0098408B">
        <w:rPr>
          <w:rFonts w:asciiTheme="minorHAnsi" w:hAnsiTheme="minorHAnsi" w:cstheme="minorHAnsi"/>
        </w:rPr>
        <w:t xml:space="preserve"> </w:t>
      </w:r>
      <w:r w:rsidRPr="007A2FCF">
        <w:rPr>
          <w:rFonts w:asciiTheme="minorHAnsi" w:hAnsiTheme="minorHAnsi" w:cstheme="minorHAnsi"/>
        </w:rPr>
        <w:t xml:space="preserve">States may access the August 2021 SHO at </w:t>
      </w:r>
      <w:hyperlink r:id="rId32" w:tooltip="Updated Guidance Related to Planning for the Resumption of Normal State Medicaid, Children’s Health Insurance Program (CHIP), and Basic Health Program Operations Upon Conclusion of the COVID-19 Public Health Emergency" w:history="1">
        <w:r w:rsidRPr="007A2FCF">
          <w:rPr>
            <w:rStyle w:val="Hyperlink"/>
            <w:rFonts w:asciiTheme="minorHAnsi" w:hAnsiTheme="minorHAnsi" w:cstheme="minorHAnsi"/>
          </w:rPr>
          <w:t>https://www.medicaid.gov/federal-policy-guidance/downloads/sho-21-002.pdf</w:t>
        </w:r>
      </w:hyperlink>
      <w:r w:rsidRPr="007A2FCF">
        <w:rPr>
          <w:rStyle w:val="Hyperlink"/>
          <w:rFonts w:asciiTheme="minorHAnsi" w:hAnsiTheme="minorHAnsi" w:cstheme="minorHAnsi"/>
          <w:color w:val="auto"/>
          <w:u w:val="none"/>
        </w:rPr>
        <w:t>.</w:t>
      </w:r>
    </w:p>
    <w:p w14:paraId="338EC1CC" w14:textId="77777777" w:rsidR="00665868" w:rsidRDefault="00665868" w:rsidP="0098408B">
      <w:pPr>
        <w:pStyle w:val="ListParagraph"/>
        <w:tabs>
          <w:tab w:val="left" w:pos="1800"/>
        </w:tabs>
        <w:ind w:left="360"/>
        <w:rPr>
          <w:rStyle w:val="Hyperlink"/>
          <w:rFonts w:asciiTheme="minorHAnsi" w:hAnsiTheme="minorHAnsi" w:cstheme="minorHAnsi"/>
          <w:color w:val="auto"/>
          <w:u w:val="none"/>
        </w:rPr>
      </w:pPr>
    </w:p>
    <w:p w14:paraId="6A450B7B" w14:textId="2B1812D1" w:rsidR="005A0EBD" w:rsidRPr="00793739" w:rsidRDefault="005A0EBD" w:rsidP="00DA2575">
      <w:pPr>
        <w:pStyle w:val="ListParagraph"/>
        <w:numPr>
          <w:ilvl w:val="0"/>
          <w:numId w:val="29"/>
        </w:numPr>
        <w:ind w:left="360"/>
        <w:rPr>
          <w:rFonts w:asciiTheme="minorHAnsi" w:hAnsiTheme="minorHAnsi" w:cstheme="minorHAnsi"/>
        </w:rPr>
      </w:pPr>
      <w:r w:rsidRPr="00793739">
        <w:rPr>
          <w:rFonts w:asciiTheme="minorHAnsi" w:hAnsiTheme="minorHAnsi" w:cstheme="minorHAnsi"/>
          <w:b/>
        </w:rPr>
        <w:t>State Health Official Letter (SHO) #22-</w:t>
      </w:r>
      <w:r w:rsidR="002973D0" w:rsidRPr="00793739">
        <w:rPr>
          <w:rFonts w:asciiTheme="minorHAnsi" w:hAnsiTheme="minorHAnsi" w:cstheme="minorHAnsi"/>
          <w:b/>
          <w:bCs/>
        </w:rPr>
        <w:t>001</w:t>
      </w:r>
      <w:r w:rsidRPr="00793739">
        <w:rPr>
          <w:rFonts w:asciiTheme="minorHAnsi" w:hAnsiTheme="minorHAnsi" w:cstheme="minorHAnsi"/>
          <w:b/>
        </w:rPr>
        <w:t xml:space="preserve">, “Promoting Continuity of Coverage and Distributing Eligibility and Enrollment Workload in Medicaid, the Children’s Health Insurance Program (CHIP), and Basic Health Program (BHP) Upon Conclusion of the COVID-19 Public Health Emergency </w:t>
      </w:r>
      <w:r w:rsidRPr="00793739">
        <w:rPr>
          <w:rFonts w:asciiTheme="minorHAnsi" w:hAnsiTheme="minorHAnsi" w:cstheme="minorHAnsi"/>
        </w:rPr>
        <w:t>(“</w:t>
      </w:r>
      <w:r w:rsidR="006950E1" w:rsidRPr="00793739">
        <w:rPr>
          <w:rFonts w:asciiTheme="minorHAnsi" w:hAnsiTheme="minorHAnsi" w:cstheme="minorHAnsi"/>
        </w:rPr>
        <w:t xml:space="preserve">March </w:t>
      </w:r>
      <w:r w:rsidRPr="00793739">
        <w:rPr>
          <w:rFonts w:asciiTheme="minorHAnsi" w:hAnsiTheme="minorHAnsi" w:cstheme="minorHAnsi"/>
        </w:rPr>
        <w:t xml:space="preserve">2022 SHO”): </w:t>
      </w:r>
      <w:r w:rsidR="002973D0" w:rsidRPr="00793739">
        <w:rPr>
          <w:rFonts w:asciiTheme="minorHAnsi" w:hAnsiTheme="minorHAnsi" w:cstheme="minorHAnsi"/>
        </w:rPr>
        <w:t>Part of a series of</w:t>
      </w:r>
      <w:r w:rsidR="003D0259" w:rsidRPr="00793739">
        <w:rPr>
          <w:rFonts w:asciiTheme="minorHAnsi" w:hAnsiTheme="minorHAnsi" w:cstheme="minorHAnsi"/>
        </w:rPr>
        <w:t xml:space="preserve"> guidance </w:t>
      </w:r>
      <w:r w:rsidR="002973D0" w:rsidRPr="00793739">
        <w:rPr>
          <w:rFonts w:asciiTheme="minorHAnsi" w:hAnsiTheme="minorHAnsi" w:cstheme="minorHAnsi"/>
        </w:rPr>
        <w:t>that outlines</w:t>
      </w:r>
      <w:r w:rsidR="003D0259" w:rsidRPr="00793739">
        <w:rPr>
          <w:rFonts w:asciiTheme="minorHAnsi" w:hAnsiTheme="minorHAnsi" w:cstheme="minorHAnsi"/>
        </w:rPr>
        <w:t xml:space="preserve"> how states may address the large volume of pending eligibility and enrollment actions they will need to take after the PHE ends </w:t>
      </w:r>
      <w:r w:rsidR="002973D0" w:rsidRPr="00793739">
        <w:rPr>
          <w:rFonts w:asciiTheme="minorHAnsi" w:hAnsiTheme="minorHAnsi" w:cstheme="minorHAnsi"/>
        </w:rPr>
        <w:t xml:space="preserve">and identifies strategies to </w:t>
      </w:r>
      <w:r w:rsidR="003D0259" w:rsidRPr="00793739">
        <w:rPr>
          <w:rFonts w:asciiTheme="minorHAnsi" w:hAnsiTheme="minorHAnsi" w:cstheme="minorHAnsi"/>
        </w:rPr>
        <w:t>mitigate churn for eligible enrollees and smoothly transition individuals between coverage programs</w:t>
      </w:r>
      <w:r w:rsidR="003C41BC">
        <w:rPr>
          <w:rFonts w:asciiTheme="minorHAnsi" w:hAnsiTheme="minorHAnsi" w:cstheme="minorHAnsi"/>
        </w:rPr>
        <w:t xml:space="preserve">. </w:t>
      </w:r>
      <w:r w:rsidR="0098408B">
        <w:rPr>
          <w:rFonts w:asciiTheme="minorHAnsi" w:hAnsiTheme="minorHAnsi" w:cstheme="minorHAnsi"/>
        </w:rPr>
        <w:t xml:space="preserve"> </w:t>
      </w:r>
      <w:r w:rsidR="00EC5FAF" w:rsidRPr="00793739">
        <w:rPr>
          <w:rFonts w:asciiTheme="minorHAnsi" w:hAnsiTheme="minorHAnsi" w:cstheme="minorHAnsi"/>
        </w:rPr>
        <w:t>States may access the</w:t>
      </w:r>
      <w:r w:rsidR="002973D0" w:rsidRPr="00793739">
        <w:rPr>
          <w:rFonts w:asciiTheme="minorHAnsi" w:hAnsiTheme="minorHAnsi" w:cstheme="minorHAnsi"/>
        </w:rPr>
        <w:t xml:space="preserve"> March 2022 SHO </w:t>
      </w:r>
      <w:r w:rsidR="002973D0" w:rsidRPr="003D62E5">
        <w:rPr>
          <w:rFonts w:asciiTheme="minorHAnsi" w:hAnsiTheme="minorHAnsi" w:cstheme="minorHAnsi"/>
        </w:rPr>
        <w:t xml:space="preserve">at </w:t>
      </w:r>
      <w:hyperlink r:id="rId33" w:tooltip="Unwinding and Returning to Regular Operations after COVID-19" w:history="1">
        <w:r w:rsidR="004C7E67" w:rsidRPr="00B41043">
          <w:rPr>
            <w:rStyle w:val="Hyperlink"/>
          </w:rPr>
          <w:t>https://www.medicaid.gov/unwinding</w:t>
        </w:r>
      </w:hyperlink>
      <w:r w:rsidR="004C7E67" w:rsidRPr="003D62E5">
        <w:rPr>
          <w:rFonts w:asciiTheme="minorHAnsi" w:hAnsiTheme="minorHAnsi" w:cstheme="minorHAnsi"/>
        </w:rPr>
        <w:t>.</w:t>
      </w:r>
    </w:p>
    <w:p w14:paraId="31CC351D" w14:textId="20161AA7" w:rsidR="005A0EBD" w:rsidRPr="00A44082" w:rsidRDefault="005A0EBD" w:rsidP="00A44082">
      <w:pPr>
        <w:pStyle w:val="Heading1"/>
        <w:rPr>
          <w:b/>
          <w:bCs/>
        </w:rPr>
      </w:pPr>
      <w:r w:rsidRPr="00A44082">
        <w:rPr>
          <w:b/>
          <w:bCs/>
        </w:rPr>
        <w:t>Resources</w:t>
      </w:r>
    </w:p>
    <w:p w14:paraId="376BF35E" w14:textId="29E14549" w:rsidR="007E424F" w:rsidRPr="007E424F" w:rsidRDefault="007E424F" w:rsidP="007E424F">
      <w:pPr>
        <w:pStyle w:val="ListParagraph"/>
        <w:tabs>
          <w:tab w:val="left" w:pos="1800"/>
        </w:tabs>
        <w:ind w:left="1800"/>
        <w:rPr>
          <w:rFonts w:asciiTheme="minorHAnsi" w:hAnsiTheme="minorHAnsi" w:cstheme="minorHAnsi"/>
        </w:rPr>
      </w:pPr>
    </w:p>
    <w:p w14:paraId="726A83AA" w14:textId="5EECD1A5" w:rsidR="005A0EBD" w:rsidRPr="007E424F" w:rsidRDefault="005A0EBD" w:rsidP="00DA2575">
      <w:pPr>
        <w:pStyle w:val="ListParagraph"/>
        <w:numPr>
          <w:ilvl w:val="0"/>
          <w:numId w:val="28"/>
        </w:numPr>
        <w:tabs>
          <w:tab w:val="left" w:pos="1800"/>
        </w:tabs>
        <w:ind w:left="360"/>
        <w:rPr>
          <w:rFonts w:asciiTheme="minorHAnsi" w:hAnsiTheme="minorHAnsi" w:cstheme="minorHAnsi"/>
        </w:rPr>
      </w:pPr>
      <w:r w:rsidRPr="007E424F">
        <w:rPr>
          <w:rFonts w:asciiTheme="minorHAnsi" w:hAnsiTheme="minorHAnsi" w:cstheme="minorHAnsi"/>
          <w:b/>
          <w:bCs/>
        </w:rPr>
        <w:t>COVID-19 Frequently Asked Questions (FAQs) for State Medicaid and Children’s Health Insurance Program (CHIP) Agencies</w:t>
      </w:r>
      <w:r w:rsidRPr="007E424F">
        <w:rPr>
          <w:rFonts w:asciiTheme="minorHAnsi" w:hAnsiTheme="minorHAnsi" w:cstheme="minorHAnsi"/>
        </w:rPr>
        <w:t xml:space="preserve"> (“January 2021 FAQs”)</w:t>
      </w:r>
      <w:r>
        <w:rPr>
          <w:rFonts w:asciiTheme="minorHAnsi" w:hAnsiTheme="minorHAnsi" w:cstheme="minorHAnsi"/>
        </w:rPr>
        <w:t>:</w:t>
      </w:r>
      <w:r w:rsidRPr="007E424F">
        <w:rPr>
          <w:rFonts w:asciiTheme="minorHAnsi" w:hAnsiTheme="minorHAnsi" w:cstheme="minorHAnsi"/>
        </w:rPr>
        <w:t xml:space="preserve"> States may access the January 2021 FAQs at </w:t>
      </w:r>
      <w:hyperlink r:id="rId34" w:tooltip="COVID-19 Frequently Asked Questions (FAQs) for State Medicaid and Children’s Health Insurance Program (CHIP) Agencies " w:history="1">
        <w:r w:rsidRPr="00BB6EF4">
          <w:rPr>
            <w:rStyle w:val="Hyperlink"/>
            <w:rFonts w:asciiTheme="minorHAnsi" w:hAnsiTheme="minorHAnsi" w:cstheme="minorHAnsi"/>
          </w:rPr>
          <w:t>https://www.medicaid.gov/state-resource-center/downloads/covid-19-faqs.pdf</w:t>
        </w:r>
      </w:hyperlink>
      <w:r w:rsidRPr="007E424F">
        <w:rPr>
          <w:rFonts w:asciiTheme="minorHAnsi" w:hAnsiTheme="minorHAnsi" w:cstheme="minorHAnsi"/>
        </w:rPr>
        <w:t>.</w:t>
      </w:r>
    </w:p>
    <w:p w14:paraId="7B4A1441" w14:textId="77777777" w:rsidR="005A0EBD" w:rsidRPr="007E424F" w:rsidRDefault="005A0EBD" w:rsidP="0098408B">
      <w:pPr>
        <w:pStyle w:val="ListParagraph"/>
        <w:tabs>
          <w:tab w:val="left" w:pos="1800"/>
        </w:tabs>
        <w:ind w:left="360"/>
        <w:rPr>
          <w:rFonts w:asciiTheme="minorHAnsi" w:hAnsiTheme="minorHAnsi" w:cstheme="minorHAnsi"/>
        </w:rPr>
      </w:pPr>
    </w:p>
    <w:p w14:paraId="63F7F96C" w14:textId="34301782" w:rsidR="005A0EBD" w:rsidRPr="00A44082" w:rsidRDefault="005A0EBD" w:rsidP="00DA2575">
      <w:pPr>
        <w:pStyle w:val="ListParagraph"/>
        <w:numPr>
          <w:ilvl w:val="0"/>
          <w:numId w:val="28"/>
        </w:numPr>
        <w:ind w:left="360"/>
        <w:rPr>
          <w:rFonts w:asciiTheme="minorHAnsi" w:hAnsiTheme="minorHAnsi" w:cstheme="minorHAnsi"/>
        </w:rPr>
      </w:pPr>
      <w:r w:rsidRPr="007E424F">
        <w:rPr>
          <w:rFonts w:asciiTheme="minorHAnsi" w:hAnsiTheme="minorHAnsi" w:cstheme="minorHAnsi"/>
          <w:b/>
          <w:bCs/>
        </w:rPr>
        <w:lastRenderedPageBreak/>
        <w:t>Medicaid</w:t>
      </w:r>
      <w:r w:rsidRPr="007E424F">
        <w:rPr>
          <w:b/>
          <w:bCs/>
        </w:rPr>
        <w:t xml:space="preserve"> &amp; CHIP MAGI Application Processing: Ensuring Timely and Accurate Eligibility Determinations</w:t>
      </w:r>
      <w:r>
        <w:t>: States may access the “</w:t>
      </w:r>
      <w:r w:rsidRPr="007E424F">
        <w:t>Medicaid &amp; CHIP MAGI Application Processing: Ensuring Timely and Accurate Eligibility Determinations</w:t>
      </w:r>
      <w:r>
        <w:t xml:space="preserve">” at </w:t>
      </w:r>
      <w:hyperlink r:id="rId35" w:tooltip="Medicaid &amp; CHIP MAGI Application Processing: Ensuring Timely and Accurate Eligibility Determinations" w:history="1">
        <w:r w:rsidRPr="00BB6EF4">
          <w:rPr>
            <w:rStyle w:val="Hyperlink"/>
          </w:rPr>
          <w:t>https://www.medicaid.gov/state-resource-center/downloads/mac-learning-collaboratives/timely-accurate-eligibility.pdf</w:t>
        </w:r>
      </w:hyperlink>
      <w:r>
        <w:t xml:space="preserve">. </w:t>
      </w:r>
    </w:p>
    <w:p w14:paraId="6C2E8226" w14:textId="77777777" w:rsidR="003C5D6B" w:rsidRPr="00613A57" w:rsidRDefault="003C5D6B" w:rsidP="0098408B">
      <w:pPr>
        <w:pStyle w:val="ListParagraph"/>
        <w:ind w:left="360"/>
        <w:rPr>
          <w:rFonts w:asciiTheme="minorHAnsi" w:hAnsiTheme="minorHAnsi" w:cstheme="minorHAnsi"/>
        </w:rPr>
      </w:pPr>
    </w:p>
    <w:p w14:paraId="43856468" w14:textId="23A7CD4D" w:rsidR="00D83861" w:rsidRPr="007E424F" w:rsidRDefault="00355D53" w:rsidP="00DA2575">
      <w:pPr>
        <w:pStyle w:val="ListParagraph"/>
        <w:numPr>
          <w:ilvl w:val="0"/>
          <w:numId w:val="28"/>
        </w:numPr>
        <w:ind w:left="360"/>
        <w:rPr>
          <w:rFonts w:asciiTheme="minorHAnsi" w:hAnsiTheme="minorHAnsi" w:cstheme="minorHAnsi"/>
        </w:rPr>
      </w:pPr>
      <w:r w:rsidRPr="007E424F">
        <w:rPr>
          <w:rFonts w:asciiTheme="minorHAnsi" w:hAnsiTheme="minorHAnsi" w:cstheme="minorHAnsi"/>
          <w:b/>
          <w:bCs/>
        </w:rPr>
        <w:t>Strategies States and the U.S. Territories Can Adopt to Maintain Coverage of Eligible Individuals as They Return to Normal Operations</w:t>
      </w:r>
      <w:r w:rsidRPr="007E424F">
        <w:rPr>
          <w:rFonts w:asciiTheme="minorHAnsi" w:hAnsiTheme="minorHAnsi" w:cstheme="minorHAnsi"/>
        </w:rPr>
        <w:t xml:space="preserve">: Provides states a list of policy and operational strategies that states can implement to support unwinding activities at the end of the COVID-19 PHE in order to ensure continuous coverage for eligible </w:t>
      </w:r>
      <w:r w:rsidR="004E37D3">
        <w:rPr>
          <w:rFonts w:asciiTheme="minorHAnsi" w:hAnsiTheme="minorHAnsi" w:cstheme="minorHAnsi"/>
        </w:rPr>
        <w:t>enrollees</w:t>
      </w:r>
      <w:r w:rsidRPr="007E424F">
        <w:rPr>
          <w:rFonts w:asciiTheme="minorHAnsi" w:hAnsiTheme="minorHAnsi" w:cstheme="minorHAnsi"/>
        </w:rPr>
        <w:t xml:space="preserve"> and facilitate coverage transitions for individuals eligible for other forms of coverage</w:t>
      </w:r>
      <w:r w:rsidR="003C41BC">
        <w:rPr>
          <w:rFonts w:asciiTheme="minorHAnsi" w:hAnsiTheme="minorHAnsi" w:cstheme="minorHAnsi"/>
        </w:rPr>
        <w:t xml:space="preserve">. </w:t>
      </w:r>
      <w:r w:rsidR="0098408B">
        <w:rPr>
          <w:rFonts w:asciiTheme="minorHAnsi" w:hAnsiTheme="minorHAnsi" w:cstheme="minorHAnsi"/>
        </w:rPr>
        <w:t xml:space="preserve"> </w:t>
      </w:r>
      <w:r w:rsidRPr="007E424F">
        <w:rPr>
          <w:rFonts w:asciiTheme="minorHAnsi" w:hAnsiTheme="minorHAnsi" w:cstheme="minorHAnsi"/>
        </w:rPr>
        <w:t xml:space="preserve">States may access the “Strategies States and the U.S. Territories Can Adopt to Maintain Coverage of Eligible Individuals as They Return to Normal Operations” tool at </w:t>
      </w:r>
      <w:hyperlink r:id="rId36" w:tooltip="Strategies States and the U.S. Territories Can Adopt to Maintain Coverage of Eligible Individuals as They Return to Normal Operations" w:history="1">
        <w:r w:rsidR="00DA3848" w:rsidRPr="00BB6EF4">
          <w:rPr>
            <w:rStyle w:val="Hyperlink"/>
            <w:rFonts w:asciiTheme="minorHAnsi" w:hAnsiTheme="minorHAnsi" w:cstheme="minorHAnsi"/>
          </w:rPr>
          <w:t>https://www.medicaid.gov/state-resource-center/downloads/strategies-for-covrg-of-indiv.pdf</w:t>
        </w:r>
      </w:hyperlink>
      <w:r w:rsidR="00DA3848">
        <w:rPr>
          <w:rFonts w:asciiTheme="minorHAnsi" w:hAnsiTheme="minorHAnsi" w:cstheme="minorHAnsi"/>
        </w:rPr>
        <w:t>.</w:t>
      </w:r>
      <w:r w:rsidR="00E73D99">
        <w:rPr>
          <w:rFonts w:asciiTheme="minorHAnsi" w:hAnsiTheme="minorHAnsi" w:cstheme="minorHAnsi"/>
        </w:rPr>
        <w:t xml:space="preserve"> </w:t>
      </w:r>
    </w:p>
    <w:p w14:paraId="02FC0169" w14:textId="77777777" w:rsidR="006950E1" w:rsidRPr="006950E1" w:rsidRDefault="006950E1" w:rsidP="0098408B">
      <w:pPr>
        <w:pStyle w:val="ListParagraph"/>
        <w:ind w:left="0"/>
        <w:rPr>
          <w:rFonts w:asciiTheme="minorHAnsi" w:hAnsiTheme="minorHAnsi" w:cstheme="minorHAnsi"/>
        </w:rPr>
      </w:pPr>
    </w:p>
    <w:p w14:paraId="0C71F657" w14:textId="476F9D3B" w:rsidR="006950E1" w:rsidRPr="006950E1" w:rsidRDefault="006950E1" w:rsidP="00DA2575">
      <w:pPr>
        <w:pStyle w:val="ListParagraph"/>
        <w:numPr>
          <w:ilvl w:val="0"/>
          <w:numId w:val="28"/>
        </w:numPr>
        <w:ind w:left="360"/>
        <w:rPr>
          <w:rFonts w:asciiTheme="minorHAnsi" w:hAnsiTheme="minorHAnsi" w:cstheme="minorHAnsi"/>
        </w:rPr>
      </w:pPr>
      <w:r>
        <w:rPr>
          <w:rFonts w:asciiTheme="minorHAnsi" w:hAnsiTheme="minorHAnsi" w:cstheme="minorHAnsi"/>
          <w:b/>
        </w:rPr>
        <w:t xml:space="preserve">Medicaid and CHIP </w:t>
      </w:r>
      <w:r w:rsidR="00E87719">
        <w:rPr>
          <w:rFonts w:asciiTheme="minorHAnsi" w:hAnsiTheme="minorHAnsi" w:cstheme="minorHAnsi"/>
          <w:b/>
        </w:rPr>
        <w:t>C</w:t>
      </w:r>
      <w:r>
        <w:rPr>
          <w:rFonts w:asciiTheme="minorHAnsi" w:hAnsiTheme="minorHAnsi" w:cstheme="minorHAnsi"/>
          <w:b/>
        </w:rPr>
        <w:t>ontinuous Coverage Unwinding Phase 1: Plan &amp; Educat</w:t>
      </w:r>
      <w:r w:rsidR="00CB0951">
        <w:rPr>
          <w:rFonts w:asciiTheme="minorHAnsi" w:hAnsiTheme="minorHAnsi" w:cstheme="minorHAnsi"/>
          <w:b/>
        </w:rPr>
        <w:t xml:space="preserve">e </w:t>
      </w:r>
      <w:r w:rsidR="00EC42E4" w:rsidRPr="0098408B">
        <w:rPr>
          <w:rFonts w:asciiTheme="minorHAnsi" w:hAnsiTheme="minorHAnsi" w:cstheme="minorHAnsi"/>
          <w:b/>
          <w:bCs/>
        </w:rPr>
        <w:t>(Unwinding Communications Toolkit)</w:t>
      </w:r>
      <w:r w:rsidRPr="00A55D98">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Provides important information to help inform people with Medicaid and CHIP about steps they need to take to renew coverage</w:t>
      </w:r>
      <w:r w:rsidR="003C41BC">
        <w:rPr>
          <w:rFonts w:asciiTheme="minorHAnsi" w:hAnsiTheme="minorHAnsi" w:cstheme="minorHAnsi"/>
        </w:rPr>
        <w:t xml:space="preserve">. </w:t>
      </w:r>
      <w:r w:rsidR="0098408B">
        <w:rPr>
          <w:rFonts w:asciiTheme="minorHAnsi" w:hAnsiTheme="minorHAnsi" w:cstheme="minorHAnsi"/>
        </w:rPr>
        <w:t xml:space="preserve"> </w:t>
      </w:r>
      <w:r w:rsidRPr="007E424F">
        <w:rPr>
          <w:rFonts w:asciiTheme="minorHAnsi" w:hAnsiTheme="minorHAnsi" w:cstheme="minorHAnsi"/>
        </w:rPr>
        <w:t xml:space="preserve">States may access </w:t>
      </w:r>
      <w:r w:rsidRPr="006950E1">
        <w:rPr>
          <w:rFonts w:asciiTheme="minorHAnsi" w:hAnsiTheme="minorHAnsi" w:cstheme="minorHAnsi"/>
        </w:rPr>
        <w:t xml:space="preserve">the </w:t>
      </w:r>
      <w:r w:rsidR="002973D0">
        <w:rPr>
          <w:rFonts w:asciiTheme="minorHAnsi" w:hAnsiTheme="minorHAnsi" w:cstheme="minorHAnsi"/>
        </w:rPr>
        <w:t>Unwinding Communications Toolkit</w:t>
      </w:r>
      <w:r w:rsidRPr="006950E1">
        <w:rPr>
          <w:rFonts w:asciiTheme="minorHAnsi" w:hAnsiTheme="minorHAnsi" w:cstheme="minorHAnsi"/>
        </w:rPr>
        <w:t xml:space="preserve"> at </w:t>
      </w:r>
      <w:hyperlink r:id="rId37" w:tooltip="Unwinding and Returning to Regular Operations after COVID-19" w:history="1">
        <w:r w:rsidR="00FE08EE" w:rsidRPr="00DA2575">
          <w:rPr>
            <w:rStyle w:val="Hyperlink"/>
          </w:rPr>
          <w:t>https://www.medicaid.gov/unwinding</w:t>
        </w:r>
      </w:hyperlink>
      <w:r w:rsidRPr="003D62E5">
        <w:rPr>
          <w:rFonts w:asciiTheme="minorHAnsi" w:hAnsiTheme="minorHAnsi" w:cstheme="minorHAnsi"/>
        </w:rPr>
        <w:t>.</w:t>
      </w:r>
      <w:r w:rsidRPr="006950E1">
        <w:rPr>
          <w:rFonts w:asciiTheme="minorHAnsi" w:hAnsiTheme="minorHAnsi" w:cstheme="minorHAnsi"/>
        </w:rPr>
        <w:t xml:space="preserve"> </w:t>
      </w:r>
    </w:p>
    <w:p w14:paraId="135019D7" w14:textId="77777777" w:rsidR="006950E1" w:rsidRPr="006950E1" w:rsidRDefault="006950E1" w:rsidP="0098408B">
      <w:pPr>
        <w:pStyle w:val="ListParagraph"/>
        <w:ind w:left="360"/>
        <w:rPr>
          <w:rFonts w:asciiTheme="minorHAnsi" w:hAnsiTheme="minorHAnsi" w:cstheme="minorHAnsi"/>
        </w:rPr>
      </w:pPr>
    </w:p>
    <w:p w14:paraId="7D62BDF7" w14:textId="77777777" w:rsidR="008843CF" w:rsidRPr="007E424F" w:rsidRDefault="008843CF" w:rsidP="007E424F">
      <w:pPr>
        <w:rPr>
          <w:rFonts w:asciiTheme="minorHAnsi" w:hAnsiTheme="minorHAnsi" w:cstheme="minorHAnsi"/>
        </w:rPr>
      </w:pPr>
    </w:p>
    <w:sectPr w:rsidR="008843CF" w:rsidRPr="007E424F" w:rsidSect="004401A4">
      <w:headerReference w:type="even" r:id="rId38"/>
      <w:headerReference w:type="default" r:id="rId39"/>
      <w:footerReference w:type="even" r:id="rId40"/>
      <w:footerReference w:type="default" r:id="rId41"/>
      <w:headerReference w:type="first" r:id="rId42"/>
      <w:footerReference w:type="first" r:id="rId43"/>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CC08" w14:textId="77777777" w:rsidR="00403E45" w:rsidRPr="0051207E" w:rsidRDefault="00403E45" w:rsidP="00AE2DD9">
      <w:r>
        <w:separator/>
      </w:r>
    </w:p>
  </w:endnote>
  <w:endnote w:type="continuationSeparator" w:id="0">
    <w:p w14:paraId="39682EEA" w14:textId="77777777" w:rsidR="00403E45" w:rsidRPr="0051207E" w:rsidRDefault="00403E45" w:rsidP="00AE2DD9">
      <w:r>
        <w:continuationSeparator/>
      </w:r>
    </w:p>
  </w:endnote>
  <w:endnote w:type="continuationNotice" w:id="1">
    <w:p w14:paraId="67E54D10" w14:textId="77777777" w:rsidR="00403E45" w:rsidRDefault="00403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E464" w14:textId="77777777" w:rsidR="004430F9" w:rsidRDefault="0044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C9B" w14:textId="31863159" w:rsidR="004C7E67" w:rsidRDefault="004430F9">
    <w:pPr>
      <w:pStyle w:val="Footer"/>
      <w:jc w:val="center"/>
      <w:rPr>
        <w:noProof/>
      </w:rPr>
    </w:pPr>
    <w:sdt>
      <w:sdtPr>
        <w:id w:val="990528320"/>
        <w:docPartObj>
          <w:docPartGallery w:val="Page Numbers (Bottom of Page)"/>
          <w:docPartUnique/>
        </w:docPartObj>
      </w:sdtPr>
      <w:sdtEndPr>
        <w:rPr>
          <w:noProof/>
        </w:rPr>
      </w:sdtEndPr>
      <w:sdtContent>
        <w:r w:rsidR="004C7E67">
          <w:fldChar w:fldCharType="begin"/>
        </w:r>
        <w:r w:rsidR="004C7E67">
          <w:instrText xml:space="preserve"> PAGE   \* MERGEFORMAT </w:instrText>
        </w:r>
        <w:r w:rsidR="004C7E67">
          <w:fldChar w:fldCharType="separate"/>
        </w:r>
        <w:r w:rsidR="004C7E67">
          <w:rPr>
            <w:noProof/>
          </w:rPr>
          <w:t>2</w:t>
        </w:r>
        <w:r w:rsidR="004C7E67">
          <w:rPr>
            <w:noProof/>
          </w:rPr>
          <w:fldChar w:fldCharType="end"/>
        </w:r>
      </w:sdtContent>
    </w:sdt>
  </w:p>
  <w:p w14:paraId="40E63132" w14:textId="38959F67" w:rsidR="004C7E67" w:rsidRDefault="004C7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27953"/>
      <w:docPartObj>
        <w:docPartGallery w:val="Page Numbers (Bottom of Page)"/>
        <w:docPartUnique/>
      </w:docPartObj>
    </w:sdtPr>
    <w:sdtEndPr>
      <w:rPr>
        <w:noProof/>
      </w:rPr>
    </w:sdtEndPr>
    <w:sdtContent>
      <w:p w14:paraId="3E2CAF0A" w14:textId="254DC4AA" w:rsidR="004C7E67" w:rsidRDefault="004C7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3D89D" w14:textId="77777777" w:rsidR="004C7E67" w:rsidRDefault="004430F9">
    <w:pPr>
      <w:pStyle w:val="Footer"/>
    </w:pPr>
    <w:r>
      <w:rPr>
        <w:noProof/>
      </w:rPr>
      <w:pict w14:anchorId="5E216E4C">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style="mso-next-textbox:#zzmpTrailer_1078_1B" inset="0,0,0,0">
            <w:txbxContent>
              <w:p w14:paraId="0548B57E" w14:textId="77777777" w:rsidR="004C7E67" w:rsidRDefault="004C7E6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1054" w14:textId="77777777" w:rsidR="00403E45" w:rsidRPr="0051207E" w:rsidRDefault="00403E45" w:rsidP="00AE2DD9">
      <w:r>
        <w:separator/>
      </w:r>
    </w:p>
  </w:footnote>
  <w:footnote w:type="continuationSeparator" w:id="0">
    <w:p w14:paraId="60178D4D" w14:textId="77777777" w:rsidR="00403E45" w:rsidRPr="0051207E" w:rsidRDefault="00403E45" w:rsidP="00AE2DD9">
      <w:r>
        <w:continuationSeparator/>
      </w:r>
    </w:p>
  </w:footnote>
  <w:footnote w:type="continuationNotice" w:id="1">
    <w:p w14:paraId="1C9B0EDB" w14:textId="77777777" w:rsidR="00403E45" w:rsidRDefault="00403E45"/>
  </w:footnote>
  <w:footnote w:id="2">
    <w:p w14:paraId="439154B7" w14:textId="77777777" w:rsidR="004C7E67" w:rsidRPr="00C24633" w:rsidRDefault="004C7E67">
      <w:pPr>
        <w:pStyle w:val="FootnoteText"/>
        <w:rPr>
          <w:rFonts w:cstheme="minorHAnsi"/>
        </w:rPr>
      </w:pPr>
      <w:r w:rsidRPr="00C24633">
        <w:rPr>
          <w:rStyle w:val="FootnoteReference"/>
          <w:rFonts w:cstheme="minorHAnsi"/>
        </w:rPr>
        <w:footnoteRef/>
      </w:r>
      <w:r w:rsidRPr="00C24633">
        <w:rPr>
          <w:rFonts w:cstheme="minorHAnsi"/>
        </w:rPr>
        <w:t xml:space="preserve"> Throughout this document, “states” refers to states, the District of Columbia, and the U.S. Territories.</w:t>
      </w:r>
    </w:p>
  </w:footnote>
  <w:footnote w:id="3">
    <w:p w14:paraId="396BDB07" w14:textId="4C626BC3" w:rsidR="004C7E67" w:rsidRPr="00C24633" w:rsidRDefault="004C7E67">
      <w:pPr>
        <w:pStyle w:val="FootnoteText"/>
        <w:rPr>
          <w:rFonts w:cstheme="minorHAnsi"/>
        </w:rPr>
      </w:pPr>
      <w:r w:rsidRPr="00C24633">
        <w:rPr>
          <w:rStyle w:val="FootnoteReference"/>
          <w:rFonts w:cstheme="minorHAnsi"/>
        </w:rPr>
        <w:footnoteRef/>
      </w:r>
      <w:r>
        <w:rPr>
          <w:rFonts w:cstheme="minorHAnsi"/>
        </w:rPr>
        <w:t xml:space="preserve"> </w:t>
      </w:r>
      <w:r w:rsidRPr="00C24633">
        <w:rPr>
          <w:rFonts w:cstheme="minorHAnsi"/>
        </w:rPr>
        <w:t xml:space="preserve">Consistent with 6008(b)(3) of the FFCRA and 42 C.F.R. § 433.400, states claiming the temporary 6.2 percentage point FMAP increase authorized under FFCRA must ensure </w:t>
      </w:r>
      <w:r>
        <w:rPr>
          <w:rFonts w:cstheme="minorHAnsi"/>
        </w:rPr>
        <w:t xml:space="preserve">individuals that are </w:t>
      </w:r>
      <w:r w:rsidRPr="00C24633">
        <w:rPr>
          <w:rFonts w:cstheme="minorHAnsi"/>
        </w:rPr>
        <w:t>“validly enrolled” remain enrolled through the end of the month in which the PHE ends unless the individual requests voluntary termination, is no longer considered to be a resident of the state, or dies.</w:t>
      </w:r>
    </w:p>
  </w:footnote>
  <w:footnote w:id="4">
    <w:p w14:paraId="59DF1088" w14:textId="23722153" w:rsidR="004C7E67" w:rsidRDefault="004C7E67">
      <w:pPr>
        <w:pStyle w:val="FootnoteText"/>
      </w:pPr>
      <w:r>
        <w:rPr>
          <w:rStyle w:val="FootnoteReference"/>
        </w:rPr>
        <w:footnoteRef/>
      </w:r>
      <w:r>
        <w:t xml:space="preserve"> </w:t>
      </w:r>
      <w:r w:rsidRPr="0070459E">
        <w:t>MAGI</w:t>
      </w:r>
      <w:r>
        <w:t xml:space="preserve"> renewals include </w:t>
      </w:r>
      <w:r w:rsidRPr="004B4D59">
        <w:t xml:space="preserve">individuals enrolled in </w:t>
      </w:r>
      <w:r>
        <w:t>Medicaid and CHIP.</w:t>
      </w:r>
    </w:p>
  </w:footnote>
  <w:footnote w:id="5">
    <w:p w14:paraId="01055053" w14:textId="2CC60C97" w:rsidR="004C7E67" w:rsidRPr="00CD4224" w:rsidRDefault="004C7E67" w:rsidP="00DF4DDA">
      <w:pPr>
        <w:pStyle w:val="FootnoteText"/>
      </w:pPr>
      <w:r w:rsidRPr="00CD4224">
        <w:rPr>
          <w:rStyle w:val="FootnoteReference"/>
        </w:rPr>
        <w:footnoteRef/>
      </w:r>
      <w:r w:rsidRPr="00CD4224">
        <w:t xml:space="preserve"> States are reminded that they </w:t>
      </w:r>
      <w:r w:rsidRPr="00CD4224">
        <w:rPr>
          <w:iCs/>
        </w:rPr>
        <w:t xml:space="preserve">may not prioritize populations based solely on the Medicaid eligibility group in which they are enrolled, de-prioritize cases based on the availability of FFP at a matching rate that exceeds the state’s regular FMAP (e.g., states may not de-prioritize completion of outstanding eligibility actions for individuals enrolled in the adult group) or prioritize populations in a manner that would </w:t>
      </w:r>
      <w:r w:rsidRPr="00386C08">
        <w:rPr>
          <w:iCs/>
        </w:rPr>
        <w:t xml:space="preserve">constitute a violation of federal law, </w:t>
      </w:r>
      <w:r w:rsidRPr="0098408B">
        <w:rPr>
          <w:iCs/>
        </w:rPr>
        <w:t xml:space="preserve">including, but not limited to, the Americans with Disabilities Act of 1990 (ADA), Title VI of the Civil Rights Act of 1964, Section 504 of the Rehabilitation Act of 1973 (Section 504), the Age Discrimination Act of 1975, and Section 1557 of the Affordable Care Act (Section </w:t>
      </w:r>
      <w:r w:rsidRPr="0098408B">
        <w:t>1557).</w:t>
      </w:r>
      <w:r>
        <w:t xml:space="preserve"> </w:t>
      </w:r>
      <w:r w:rsidRPr="0098408B">
        <w:t xml:space="preserve"> </w:t>
      </w:r>
      <w:r w:rsidRPr="0098408B">
        <w:rPr>
          <w:iCs/>
        </w:rPr>
        <w:t>Further, compliance with these laws includes providing reasonable accommodations to individuals with disabilities under the ADA, Section 504, and Section 1557, with eligibility and documentation requirements, understanding program rules and notices, to ensure they understand program rules and notices, as well as meeting other program requirements necessary to obtain and maintain benefits.</w:t>
      </w:r>
    </w:p>
    <w:p w14:paraId="02D90E97" w14:textId="23F8073E" w:rsidR="004C7E67" w:rsidRDefault="004C7E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1208" w14:textId="77777777" w:rsidR="004430F9" w:rsidRDefault="0044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D718" w14:textId="77777777" w:rsidR="004430F9" w:rsidRDefault="00443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332D" w14:textId="77777777" w:rsidR="004C7E67" w:rsidRDefault="004C7E67">
    <w:pPr>
      <w:pStyle w:val="Header"/>
    </w:pPr>
    <w:r w:rsidRPr="00F113A8">
      <w:rPr>
        <w:noProof/>
      </w:rPr>
      <w:drawing>
        <wp:inline distT="0" distB="0" distL="0" distR="0" wp14:anchorId="360E1BB4" wp14:editId="269EA425">
          <wp:extent cx="1066800" cy="609600"/>
          <wp:effectExtent l="0" t="0" r="0" b="0"/>
          <wp:docPr id="1" name="Picture 1" descr="Medicaid and CHIP Learning Collaborat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icaid and CHIP Learning Collaborativ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680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CA7E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E29F7"/>
    <w:multiLevelType w:val="hybridMultilevel"/>
    <w:tmpl w:val="05E09F1E"/>
    <w:lvl w:ilvl="0" w:tplc="55422D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A3222A"/>
    <w:multiLevelType w:val="hybridMultilevel"/>
    <w:tmpl w:val="048232C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71CFA"/>
    <w:multiLevelType w:val="hybridMultilevel"/>
    <w:tmpl w:val="561CDCC4"/>
    <w:lvl w:ilvl="0" w:tplc="4CF237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5DDB"/>
    <w:multiLevelType w:val="hybridMultilevel"/>
    <w:tmpl w:val="05E46BAA"/>
    <w:lvl w:ilvl="0" w:tplc="55422DA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83D05"/>
    <w:multiLevelType w:val="hybridMultilevel"/>
    <w:tmpl w:val="62BE7C8C"/>
    <w:lvl w:ilvl="0" w:tplc="5C3CF072">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70D10"/>
    <w:multiLevelType w:val="hybridMultilevel"/>
    <w:tmpl w:val="721033BE"/>
    <w:lvl w:ilvl="0" w:tplc="A5BCC8D0">
      <w:start w:val="1"/>
      <w:numFmt w:val="decimal"/>
      <w:lvlText w:val="%1."/>
      <w:lvlJc w:val="left"/>
      <w:pPr>
        <w:ind w:left="720" w:hanging="360"/>
      </w:pPr>
      <w:rPr>
        <w:rFonts w:hint="default"/>
        <w:b/>
      </w:rPr>
    </w:lvl>
    <w:lvl w:ilvl="1" w:tplc="A5BCC8D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A3AA6"/>
    <w:multiLevelType w:val="hybridMultilevel"/>
    <w:tmpl w:val="797C1D5A"/>
    <w:lvl w:ilvl="0" w:tplc="53E613AE">
      <w:start w:val="1"/>
      <w:numFmt w:val="bullet"/>
      <w:lvlText w:val=""/>
      <w:lvlJc w:val="left"/>
      <w:pPr>
        <w:ind w:left="360" w:hanging="360"/>
      </w:pPr>
      <w:rPr>
        <w:rFonts w:ascii="Symbol" w:hAnsi="Symbol"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855BA0"/>
    <w:multiLevelType w:val="hybridMultilevel"/>
    <w:tmpl w:val="8EC0BCF0"/>
    <w:lvl w:ilvl="0" w:tplc="5C3CF072">
      <w:start w:val="1"/>
      <w:numFmt w:val="bullet"/>
      <w:lvlText w:val=""/>
      <w:lvlJc w:val="left"/>
      <w:pPr>
        <w:ind w:left="360" w:hanging="360"/>
      </w:pPr>
      <w:rPr>
        <w:rFonts w:ascii="Symbol" w:hAnsi="Symbol"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026EE"/>
    <w:multiLevelType w:val="hybridMultilevel"/>
    <w:tmpl w:val="62420790"/>
    <w:lvl w:ilvl="0" w:tplc="55422DA2">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FB3304A"/>
    <w:multiLevelType w:val="hybridMultilevel"/>
    <w:tmpl w:val="24C04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3E0154"/>
    <w:multiLevelType w:val="hybridMultilevel"/>
    <w:tmpl w:val="D2AE1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470E0A"/>
    <w:multiLevelType w:val="hybridMultilevel"/>
    <w:tmpl w:val="6B00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160A34"/>
    <w:multiLevelType w:val="hybridMultilevel"/>
    <w:tmpl w:val="3FA8A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2B63AA"/>
    <w:multiLevelType w:val="hybridMultilevel"/>
    <w:tmpl w:val="3000B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564C61"/>
    <w:multiLevelType w:val="hybridMultilevel"/>
    <w:tmpl w:val="CC3A6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270F5B"/>
    <w:multiLevelType w:val="hybridMultilevel"/>
    <w:tmpl w:val="7C7AC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31F78"/>
    <w:multiLevelType w:val="hybridMultilevel"/>
    <w:tmpl w:val="EE6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1BC5"/>
    <w:multiLevelType w:val="hybridMultilevel"/>
    <w:tmpl w:val="F322E0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0A168C"/>
    <w:multiLevelType w:val="hybridMultilevel"/>
    <w:tmpl w:val="70864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5822B1"/>
    <w:multiLevelType w:val="hybridMultilevel"/>
    <w:tmpl w:val="78061BB0"/>
    <w:lvl w:ilvl="0" w:tplc="9724DCB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6C5810"/>
    <w:multiLevelType w:val="hybridMultilevel"/>
    <w:tmpl w:val="41D4F4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9C36C0"/>
    <w:multiLevelType w:val="hybridMultilevel"/>
    <w:tmpl w:val="ED28D64A"/>
    <w:lvl w:ilvl="0" w:tplc="5C3CF072">
      <w:start w:val="1"/>
      <w:numFmt w:val="bullet"/>
      <w:lvlText w:val=""/>
      <w:lvlJc w:val="left"/>
      <w:pPr>
        <w:ind w:left="360" w:hanging="360"/>
      </w:pPr>
      <w:rPr>
        <w:rFonts w:ascii="Symbol" w:hAnsi="Symbol"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F33D65"/>
    <w:multiLevelType w:val="hybridMultilevel"/>
    <w:tmpl w:val="A95CA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926B5D"/>
    <w:multiLevelType w:val="hybridMultilevel"/>
    <w:tmpl w:val="3000B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84447"/>
    <w:multiLevelType w:val="hybridMultilevel"/>
    <w:tmpl w:val="CE6EF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A8269E"/>
    <w:multiLevelType w:val="hybridMultilevel"/>
    <w:tmpl w:val="8C4E1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A5159"/>
    <w:multiLevelType w:val="hybridMultilevel"/>
    <w:tmpl w:val="2962D734"/>
    <w:lvl w:ilvl="0" w:tplc="55422DA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2F5FCD"/>
    <w:multiLevelType w:val="hybridMultilevel"/>
    <w:tmpl w:val="75385978"/>
    <w:lvl w:ilvl="0" w:tplc="E2F4494E">
      <w:start w:val="1"/>
      <w:numFmt w:val="upperLetter"/>
      <w:lvlText w:val="%1."/>
      <w:lvlJc w:val="left"/>
      <w:pPr>
        <w:ind w:left="720" w:hanging="360"/>
      </w:pPr>
      <w:rPr>
        <w:rFonts w:asciiTheme="majorHAnsi" w:hAnsiTheme="majorHAnsi" w:hint="default"/>
        <w:b/>
        <w:bCs/>
        <w:i/>
        <w:iCs/>
        <w:color w:val="365F91" w:themeColor="accent1" w:themeShade="BF"/>
        <w:sz w:val="28"/>
        <w:szCs w:val="28"/>
      </w:rPr>
    </w:lvl>
    <w:lvl w:ilvl="1" w:tplc="4C9448BC">
      <w:start w:val="1"/>
      <w:numFmt w:val="decimal"/>
      <w:lvlText w:val="%2."/>
      <w:lvlJc w:val="left"/>
      <w:pPr>
        <w:ind w:left="1440" w:hanging="360"/>
      </w:pPr>
      <w:rPr>
        <w:rFonts w:asciiTheme="majorHAnsi" w:hAnsiTheme="majorHAnsi" w:hint="default"/>
        <w:b/>
        <w:bCs/>
        <w:i/>
        <w:iCs/>
        <w:color w:val="1F497D" w:themeColor="text2"/>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E36AB"/>
    <w:multiLevelType w:val="hybridMultilevel"/>
    <w:tmpl w:val="0122EE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DA5ADF"/>
    <w:multiLevelType w:val="hybridMultilevel"/>
    <w:tmpl w:val="BF549918"/>
    <w:lvl w:ilvl="0" w:tplc="55422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B0DC1"/>
    <w:multiLevelType w:val="hybridMultilevel"/>
    <w:tmpl w:val="1CD0D2AC"/>
    <w:lvl w:ilvl="0" w:tplc="8D161F9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7B784C"/>
    <w:multiLevelType w:val="hybridMultilevel"/>
    <w:tmpl w:val="7D98A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6A5050"/>
    <w:multiLevelType w:val="hybridMultilevel"/>
    <w:tmpl w:val="A330EE9A"/>
    <w:lvl w:ilvl="0" w:tplc="5C3CF072">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
  </w:num>
  <w:num w:numId="4">
    <w:abstractNumId w:val="28"/>
  </w:num>
  <w:num w:numId="5">
    <w:abstractNumId w:val="17"/>
  </w:num>
  <w:num w:numId="6">
    <w:abstractNumId w:val="25"/>
  </w:num>
  <w:num w:numId="7">
    <w:abstractNumId w:val="26"/>
  </w:num>
  <w:num w:numId="8">
    <w:abstractNumId w:val="14"/>
  </w:num>
  <w:num w:numId="9">
    <w:abstractNumId w:val="11"/>
  </w:num>
  <w:num w:numId="10">
    <w:abstractNumId w:val="16"/>
  </w:num>
  <w:num w:numId="11">
    <w:abstractNumId w:val="0"/>
  </w:num>
  <w:num w:numId="12">
    <w:abstractNumId w:val="15"/>
  </w:num>
  <w:num w:numId="13">
    <w:abstractNumId w:val="10"/>
  </w:num>
  <w:num w:numId="14">
    <w:abstractNumId w:val="4"/>
  </w:num>
  <w:num w:numId="15">
    <w:abstractNumId w:val="30"/>
  </w:num>
  <w:num w:numId="16">
    <w:abstractNumId w:val="9"/>
  </w:num>
  <w:num w:numId="17">
    <w:abstractNumId w:val="12"/>
  </w:num>
  <w:num w:numId="18">
    <w:abstractNumId w:val="21"/>
  </w:num>
  <w:num w:numId="19">
    <w:abstractNumId w:val="7"/>
  </w:num>
  <w:num w:numId="20">
    <w:abstractNumId w:val="27"/>
  </w:num>
  <w:num w:numId="21">
    <w:abstractNumId w:val="22"/>
  </w:num>
  <w:num w:numId="22">
    <w:abstractNumId w:val="5"/>
  </w:num>
  <w:num w:numId="23">
    <w:abstractNumId w:val="33"/>
  </w:num>
  <w:num w:numId="24">
    <w:abstractNumId w:val="31"/>
  </w:num>
  <w:num w:numId="25">
    <w:abstractNumId w:val="18"/>
  </w:num>
  <w:num w:numId="26">
    <w:abstractNumId w:val="13"/>
  </w:num>
  <w:num w:numId="27">
    <w:abstractNumId w:val="3"/>
  </w:num>
  <w:num w:numId="28">
    <w:abstractNumId w:val="32"/>
  </w:num>
  <w:num w:numId="29">
    <w:abstractNumId w:val="23"/>
  </w:num>
  <w:num w:numId="30">
    <w:abstractNumId w:val="19"/>
  </w:num>
  <w:num w:numId="31">
    <w:abstractNumId w:val="20"/>
  </w:num>
  <w:num w:numId="32">
    <w:abstractNumId w:val="1"/>
  </w:num>
  <w:num w:numId="33">
    <w:abstractNumId w:val="6"/>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Manatt||1~401043803||2~1||3~Unwinding Planning Template_3.1.22 CMS changes accepted Manatt redlines||5~IIBE||6~IIBE||7~WORDX||8~DRAFT||10~3/2/2022 1:18:52 PM||11~3/1/2022 9:25:37 PM||13~141327||14~False||17~public||18~ALAM||19~ALAM||21~True||22~True||23~False||25~45730||26~042||33~MHSCONSULT||49~False||50~False||51~False||52~False||60~Mathematica Policy Research||61~MACPIE - Phase 11||68~MHS Consult||74~Ibe, Ifeoma||75~Ibe, Ifeoma||76~WORD 2007||77~Draft||82~docx||85~3/2/2022 1:20:45 PM||106~C:\Users\alam\AppData\Roaming\iManage\Work\Recent\Mathematica Policy Research _ MACPIE - Phase 11 _ 45730-042\Unwinding Planning Template_3.1.22 CMS changes accepted Manatt redlines(401043803.1).docx||109~3/2/2022 1:25:43 PM||113~3/1/2022 9:25:37 PM||114~3/2/2022 1:18:52 PM||124~False||"/>
    <w:docVar w:name="ForteTempFile" w:val="C:\Users\TSG User\AppData\Local\Temp\f228dae9-6a35-4ffa-b6cc-9428a5cb3b65.docx"/>
    <w:docVar w:name="zzmp10LastTrailerInserted" w:val="^`~#mp!@K=⌃#,┚┤674~œm7j0d6g´fÐ⌉pØŠ⌐Ŧ⌌Ƃ⌔y⌒Ï⌎!=⌔¥⌒/⌎­⌔.⌒K⌎@‴⌔i⌒+⌎O⌠Ü₰²⌞․⌎h ìC⌈x[‰D⌝©|Û„;4j2èhU⌉h⌗⌇ûÃPw⌆⌄Ť¾⌃Y­⌄Y« ¬]Tô⌍ÊþX⌉q⌎⌘ê5ˢ⌂á⌔rÁ'⌒‾⌉ýQd⌔⌖7⌌û⌉⌈E‴-4NIZMN]1011"/>
    <w:docVar w:name="zzmp10LastTrailerInserted_1078" w:val="^`~#mp!@K=⌃#,┚┤674~œm7j0d6g´fÐ⌉pØŠ⌐Ŧ⌌Ƃ⌔y⌒Ï⌎!=⌔¥⌒/⌎­⌔.⌒K⌎@‴⌔i⌒+⌎O⌠Ü₰²⌞․⌎h ìC⌈x[‰D⌝©|Û„;4j2èhU⌉h⌗⌇ûÃPw⌆⌄Ť¾⌃Y­⌄Y« ¬]Tô⌍ÊþX⌉q⌎⌘ê5ˢ⌂á⌔rÁ'⌒‾⌉ýQd⌔⌖7⌌û⌉⌈E‴-4NIZMN]1011"/>
    <w:docVar w:name="zzmp10mSEGsValidated" w:val="1"/>
    <w:docVar w:name="zzmp10TP" w:val="1053814"/>
    <w:docVar w:name="zzmpCompatibilityMode" w:val="15"/>
  </w:docVars>
  <w:rsids>
    <w:rsidRoot w:val="00BD38A2"/>
    <w:rsid w:val="00001812"/>
    <w:rsid w:val="00001F34"/>
    <w:rsid w:val="00004F2A"/>
    <w:rsid w:val="000069CC"/>
    <w:rsid w:val="00011A91"/>
    <w:rsid w:val="00012E88"/>
    <w:rsid w:val="000145D4"/>
    <w:rsid w:val="000177CB"/>
    <w:rsid w:val="00017891"/>
    <w:rsid w:val="00022117"/>
    <w:rsid w:val="000224EF"/>
    <w:rsid w:val="00022744"/>
    <w:rsid w:val="00022B4E"/>
    <w:rsid w:val="00026151"/>
    <w:rsid w:val="000261DC"/>
    <w:rsid w:val="00026868"/>
    <w:rsid w:val="00027E1E"/>
    <w:rsid w:val="000304E8"/>
    <w:rsid w:val="00030B1F"/>
    <w:rsid w:val="00035D22"/>
    <w:rsid w:val="00037447"/>
    <w:rsid w:val="00037620"/>
    <w:rsid w:val="00041900"/>
    <w:rsid w:val="00043DE8"/>
    <w:rsid w:val="0004596F"/>
    <w:rsid w:val="00046793"/>
    <w:rsid w:val="00047A1A"/>
    <w:rsid w:val="00050CF9"/>
    <w:rsid w:val="00050D10"/>
    <w:rsid w:val="00051183"/>
    <w:rsid w:val="000549DA"/>
    <w:rsid w:val="00055235"/>
    <w:rsid w:val="000555D6"/>
    <w:rsid w:val="000572AD"/>
    <w:rsid w:val="00062154"/>
    <w:rsid w:val="000629A1"/>
    <w:rsid w:val="000646D0"/>
    <w:rsid w:val="00065B18"/>
    <w:rsid w:val="000665F3"/>
    <w:rsid w:val="000677B0"/>
    <w:rsid w:val="0007010B"/>
    <w:rsid w:val="00080A4D"/>
    <w:rsid w:val="0008113C"/>
    <w:rsid w:val="00083A81"/>
    <w:rsid w:val="00083ACF"/>
    <w:rsid w:val="00090A8D"/>
    <w:rsid w:val="00092B02"/>
    <w:rsid w:val="0009484D"/>
    <w:rsid w:val="00095A80"/>
    <w:rsid w:val="00096185"/>
    <w:rsid w:val="00096D3A"/>
    <w:rsid w:val="00097654"/>
    <w:rsid w:val="000A01D9"/>
    <w:rsid w:val="000A01F9"/>
    <w:rsid w:val="000A06F1"/>
    <w:rsid w:val="000A28E7"/>
    <w:rsid w:val="000A2AEF"/>
    <w:rsid w:val="000A31D2"/>
    <w:rsid w:val="000A49FC"/>
    <w:rsid w:val="000A623B"/>
    <w:rsid w:val="000A6A75"/>
    <w:rsid w:val="000A7A43"/>
    <w:rsid w:val="000B3BF8"/>
    <w:rsid w:val="000B3E48"/>
    <w:rsid w:val="000B4EE2"/>
    <w:rsid w:val="000B6D4D"/>
    <w:rsid w:val="000B78EE"/>
    <w:rsid w:val="000C0245"/>
    <w:rsid w:val="000C0B1A"/>
    <w:rsid w:val="000C1091"/>
    <w:rsid w:val="000C1FF1"/>
    <w:rsid w:val="000C3C63"/>
    <w:rsid w:val="000C6E65"/>
    <w:rsid w:val="000C7C98"/>
    <w:rsid w:val="000C7E27"/>
    <w:rsid w:val="000C7ED0"/>
    <w:rsid w:val="000C7FD8"/>
    <w:rsid w:val="000D55BD"/>
    <w:rsid w:val="000D7D5B"/>
    <w:rsid w:val="000E0026"/>
    <w:rsid w:val="000E2E36"/>
    <w:rsid w:val="000E373F"/>
    <w:rsid w:val="000E4141"/>
    <w:rsid w:val="000E6E0B"/>
    <w:rsid w:val="000F1BD7"/>
    <w:rsid w:val="000F4262"/>
    <w:rsid w:val="000F5588"/>
    <w:rsid w:val="000F59A1"/>
    <w:rsid w:val="001003D4"/>
    <w:rsid w:val="001004B4"/>
    <w:rsid w:val="00100DB8"/>
    <w:rsid w:val="00101A03"/>
    <w:rsid w:val="00101CFA"/>
    <w:rsid w:val="001078F3"/>
    <w:rsid w:val="00115050"/>
    <w:rsid w:val="00115DB3"/>
    <w:rsid w:val="00116AFE"/>
    <w:rsid w:val="00116EFA"/>
    <w:rsid w:val="00121CCC"/>
    <w:rsid w:val="00123C82"/>
    <w:rsid w:val="00126FC2"/>
    <w:rsid w:val="00130402"/>
    <w:rsid w:val="00130C80"/>
    <w:rsid w:val="00130F77"/>
    <w:rsid w:val="00131078"/>
    <w:rsid w:val="0013191B"/>
    <w:rsid w:val="00131F77"/>
    <w:rsid w:val="001334C0"/>
    <w:rsid w:val="00134EAA"/>
    <w:rsid w:val="00137FE1"/>
    <w:rsid w:val="00142713"/>
    <w:rsid w:val="001442FA"/>
    <w:rsid w:val="0015025D"/>
    <w:rsid w:val="00152E2D"/>
    <w:rsid w:val="00154022"/>
    <w:rsid w:val="00154A30"/>
    <w:rsid w:val="001562DB"/>
    <w:rsid w:val="00157857"/>
    <w:rsid w:val="00162652"/>
    <w:rsid w:val="00163346"/>
    <w:rsid w:val="00164562"/>
    <w:rsid w:val="00165A51"/>
    <w:rsid w:val="001665D6"/>
    <w:rsid w:val="001666D9"/>
    <w:rsid w:val="00174356"/>
    <w:rsid w:val="00175134"/>
    <w:rsid w:val="00177360"/>
    <w:rsid w:val="00177F18"/>
    <w:rsid w:val="001818B5"/>
    <w:rsid w:val="00183585"/>
    <w:rsid w:val="00186708"/>
    <w:rsid w:val="00190463"/>
    <w:rsid w:val="00190E4B"/>
    <w:rsid w:val="001922A1"/>
    <w:rsid w:val="00192C42"/>
    <w:rsid w:val="001936D2"/>
    <w:rsid w:val="00194437"/>
    <w:rsid w:val="00196587"/>
    <w:rsid w:val="001968F2"/>
    <w:rsid w:val="00196A68"/>
    <w:rsid w:val="001A1C64"/>
    <w:rsid w:val="001A3898"/>
    <w:rsid w:val="001A38A8"/>
    <w:rsid w:val="001A3E76"/>
    <w:rsid w:val="001A42E3"/>
    <w:rsid w:val="001A464F"/>
    <w:rsid w:val="001A6D82"/>
    <w:rsid w:val="001B030E"/>
    <w:rsid w:val="001B51C5"/>
    <w:rsid w:val="001B5206"/>
    <w:rsid w:val="001B5408"/>
    <w:rsid w:val="001C0713"/>
    <w:rsid w:val="001C1290"/>
    <w:rsid w:val="001C60D9"/>
    <w:rsid w:val="001C613F"/>
    <w:rsid w:val="001C6751"/>
    <w:rsid w:val="001D0EE4"/>
    <w:rsid w:val="001D1993"/>
    <w:rsid w:val="001D2432"/>
    <w:rsid w:val="001D34C1"/>
    <w:rsid w:val="001D48EB"/>
    <w:rsid w:val="001D55EA"/>
    <w:rsid w:val="001D5E07"/>
    <w:rsid w:val="001D70C6"/>
    <w:rsid w:val="001E1F8B"/>
    <w:rsid w:val="001E5FB0"/>
    <w:rsid w:val="001E61D5"/>
    <w:rsid w:val="001E6549"/>
    <w:rsid w:val="001F0434"/>
    <w:rsid w:val="001F1101"/>
    <w:rsid w:val="001F18C9"/>
    <w:rsid w:val="00204DCA"/>
    <w:rsid w:val="00206246"/>
    <w:rsid w:val="002127A0"/>
    <w:rsid w:val="00214581"/>
    <w:rsid w:val="002217B4"/>
    <w:rsid w:val="00221878"/>
    <w:rsid w:val="00225A6B"/>
    <w:rsid w:val="002306A9"/>
    <w:rsid w:val="002329D2"/>
    <w:rsid w:val="00232F5B"/>
    <w:rsid w:val="00233DD0"/>
    <w:rsid w:val="00233FCF"/>
    <w:rsid w:val="00241801"/>
    <w:rsid w:val="002419AC"/>
    <w:rsid w:val="00241C52"/>
    <w:rsid w:val="00242687"/>
    <w:rsid w:val="00242708"/>
    <w:rsid w:val="00242E83"/>
    <w:rsid w:val="0024316F"/>
    <w:rsid w:val="002459CA"/>
    <w:rsid w:val="0024641E"/>
    <w:rsid w:val="002469E9"/>
    <w:rsid w:val="0024749A"/>
    <w:rsid w:val="00247C68"/>
    <w:rsid w:val="00247D7B"/>
    <w:rsid w:val="002519FE"/>
    <w:rsid w:val="002525AB"/>
    <w:rsid w:val="002542DC"/>
    <w:rsid w:val="00255194"/>
    <w:rsid w:val="00255E6F"/>
    <w:rsid w:val="00256552"/>
    <w:rsid w:val="00256DEF"/>
    <w:rsid w:val="00257517"/>
    <w:rsid w:val="00257710"/>
    <w:rsid w:val="002620C9"/>
    <w:rsid w:val="00264306"/>
    <w:rsid w:val="00264963"/>
    <w:rsid w:val="00266F2A"/>
    <w:rsid w:val="002673BC"/>
    <w:rsid w:val="0027333E"/>
    <w:rsid w:val="00273A78"/>
    <w:rsid w:val="0027408B"/>
    <w:rsid w:val="002741D0"/>
    <w:rsid w:val="002744DD"/>
    <w:rsid w:val="00276C5C"/>
    <w:rsid w:val="00282AEE"/>
    <w:rsid w:val="00282C37"/>
    <w:rsid w:val="00282DF6"/>
    <w:rsid w:val="00283E75"/>
    <w:rsid w:val="00283E76"/>
    <w:rsid w:val="00285D9B"/>
    <w:rsid w:val="0029156C"/>
    <w:rsid w:val="00292D8F"/>
    <w:rsid w:val="0029405A"/>
    <w:rsid w:val="00294411"/>
    <w:rsid w:val="002944EF"/>
    <w:rsid w:val="002945C2"/>
    <w:rsid w:val="00295CCB"/>
    <w:rsid w:val="002970B2"/>
    <w:rsid w:val="002972E3"/>
    <w:rsid w:val="002973D0"/>
    <w:rsid w:val="002977E1"/>
    <w:rsid w:val="002A06C5"/>
    <w:rsid w:val="002A1366"/>
    <w:rsid w:val="002A303B"/>
    <w:rsid w:val="002A3649"/>
    <w:rsid w:val="002A3B71"/>
    <w:rsid w:val="002A48D7"/>
    <w:rsid w:val="002A52FE"/>
    <w:rsid w:val="002A68F5"/>
    <w:rsid w:val="002A743F"/>
    <w:rsid w:val="002B43E9"/>
    <w:rsid w:val="002B503A"/>
    <w:rsid w:val="002B5FF1"/>
    <w:rsid w:val="002B6C01"/>
    <w:rsid w:val="002C0800"/>
    <w:rsid w:val="002C1EF9"/>
    <w:rsid w:val="002C3621"/>
    <w:rsid w:val="002C5FDC"/>
    <w:rsid w:val="002C6865"/>
    <w:rsid w:val="002C699A"/>
    <w:rsid w:val="002D400D"/>
    <w:rsid w:val="002D4A3E"/>
    <w:rsid w:val="002D6A4B"/>
    <w:rsid w:val="002E0152"/>
    <w:rsid w:val="002E67A3"/>
    <w:rsid w:val="002E70C7"/>
    <w:rsid w:val="002E7AEC"/>
    <w:rsid w:val="002F2052"/>
    <w:rsid w:val="002F3CAC"/>
    <w:rsid w:val="002F3D02"/>
    <w:rsid w:val="002F4DA6"/>
    <w:rsid w:val="002F5DBD"/>
    <w:rsid w:val="002F5E24"/>
    <w:rsid w:val="002F63F0"/>
    <w:rsid w:val="003010CD"/>
    <w:rsid w:val="0030268B"/>
    <w:rsid w:val="00302C5D"/>
    <w:rsid w:val="003045CC"/>
    <w:rsid w:val="00305D0F"/>
    <w:rsid w:val="00305DF9"/>
    <w:rsid w:val="00306C91"/>
    <w:rsid w:val="00310E79"/>
    <w:rsid w:val="00313F8E"/>
    <w:rsid w:val="003165D9"/>
    <w:rsid w:val="00320B76"/>
    <w:rsid w:val="003211E0"/>
    <w:rsid w:val="00322B55"/>
    <w:rsid w:val="0032404A"/>
    <w:rsid w:val="0032409D"/>
    <w:rsid w:val="003261FA"/>
    <w:rsid w:val="00330517"/>
    <w:rsid w:val="00332F2A"/>
    <w:rsid w:val="00332F9B"/>
    <w:rsid w:val="003345FB"/>
    <w:rsid w:val="00334604"/>
    <w:rsid w:val="00335339"/>
    <w:rsid w:val="00335A96"/>
    <w:rsid w:val="00336A1D"/>
    <w:rsid w:val="00340023"/>
    <w:rsid w:val="003402AF"/>
    <w:rsid w:val="0034121F"/>
    <w:rsid w:val="00341D5C"/>
    <w:rsid w:val="00342008"/>
    <w:rsid w:val="00344A28"/>
    <w:rsid w:val="00345FF2"/>
    <w:rsid w:val="003472E9"/>
    <w:rsid w:val="003507AC"/>
    <w:rsid w:val="003508A7"/>
    <w:rsid w:val="00350FA4"/>
    <w:rsid w:val="00353F7E"/>
    <w:rsid w:val="00355D53"/>
    <w:rsid w:val="0036120D"/>
    <w:rsid w:val="00361395"/>
    <w:rsid w:val="00361ACE"/>
    <w:rsid w:val="00363754"/>
    <w:rsid w:val="00367D76"/>
    <w:rsid w:val="0037215D"/>
    <w:rsid w:val="00372D8E"/>
    <w:rsid w:val="00373BB7"/>
    <w:rsid w:val="00373CC6"/>
    <w:rsid w:val="00376A63"/>
    <w:rsid w:val="003773BB"/>
    <w:rsid w:val="0038004A"/>
    <w:rsid w:val="00380A49"/>
    <w:rsid w:val="003868DB"/>
    <w:rsid w:val="00386AAB"/>
    <w:rsid w:val="00386C08"/>
    <w:rsid w:val="003872D2"/>
    <w:rsid w:val="00387FC8"/>
    <w:rsid w:val="0039109B"/>
    <w:rsid w:val="0039111F"/>
    <w:rsid w:val="003922DD"/>
    <w:rsid w:val="0039441C"/>
    <w:rsid w:val="00394D62"/>
    <w:rsid w:val="00395790"/>
    <w:rsid w:val="00395E0D"/>
    <w:rsid w:val="0039739B"/>
    <w:rsid w:val="003A02AF"/>
    <w:rsid w:val="003A03A4"/>
    <w:rsid w:val="003A1DED"/>
    <w:rsid w:val="003A3C09"/>
    <w:rsid w:val="003A7100"/>
    <w:rsid w:val="003B0571"/>
    <w:rsid w:val="003B0B65"/>
    <w:rsid w:val="003B1C79"/>
    <w:rsid w:val="003B300E"/>
    <w:rsid w:val="003B46CF"/>
    <w:rsid w:val="003B4E38"/>
    <w:rsid w:val="003B5B49"/>
    <w:rsid w:val="003B79B3"/>
    <w:rsid w:val="003B7D15"/>
    <w:rsid w:val="003C2BF7"/>
    <w:rsid w:val="003C41BC"/>
    <w:rsid w:val="003C5541"/>
    <w:rsid w:val="003C5D6B"/>
    <w:rsid w:val="003C63B2"/>
    <w:rsid w:val="003C66BB"/>
    <w:rsid w:val="003D0259"/>
    <w:rsid w:val="003D0914"/>
    <w:rsid w:val="003D0C79"/>
    <w:rsid w:val="003D190A"/>
    <w:rsid w:val="003D2E3A"/>
    <w:rsid w:val="003D62E5"/>
    <w:rsid w:val="003D65E1"/>
    <w:rsid w:val="003E3706"/>
    <w:rsid w:val="003E38E1"/>
    <w:rsid w:val="003E4921"/>
    <w:rsid w:val="003F0123"/>
    <w:rsid w:val="003F0304"/>
    <w:rsid w:val="003F0550"/>
    <w:rsid w:val="003F1162"/>
    <w:rsid w:val="003F245D"/>
    <w:rsid w:val="003F2E9B"/>
    <w:rsid w:val="003F4BB3"/>
    <w:rsid w:val="003F501D"/>
    <w:rsid w:val="004008EC"/>
    <w:rsid w:val="00402BDC"/>
    <w:rsid w:val="00402F77"/>
    <w:rsid w:val="0040364C"/>
    <w:rsid w:val="00403E45"/>
    <w:rsid w:val="00404954"/>
    <w:rsid w:val="0040565A"/>
    <w:rsid w:val="00406CE4"/>
    <w:rsid w:val="0040705E"/>
    <w:rsid w:val="0040743D"/>
    <w:rsid w:val="004104DA"/>
    <w:rsid w:val="00414313"/>
    <w:rsid w:val="00415D1C"/>
    <w:rsid w:val="00420464"/>
    <w:rsid w:val="00421A36"/>
    <w:rsid w:val="00421F21"/>
    <w:rsid w:val="004220D7"/>
    <w:rsid w:val="004221C6"/>
    <w:rsid w:val="00422493"/>
    <w:rsid w:val="00422B55"/>
    <w:rsid w:val="00423D88"/>
    <w:rsid w:val="0042687E"/>
    <w:rsid w:val="0043291D"/>
    <w:rsid w:val="00432E48"/>
    <w:rsid w:val="0043456E"/>
    <w:rsid w:val="00435CDC"/>
    <w:rsid w:val="00435DDD"/>
    <w:rsid w:val="00437C5A"/>
    <w:rsid w:val="004401A4"/>
    <w:rsid w:val="00440C44"/>
    <w:rsid w:val="004430F9"/>
    <w:rsid w:val="00443E00"/>
    <w:rsid w:val="00444754"/>
    <w:rsid w:val="00444EF3"/>
    <w:rsid w:val="00445314"/>
    <w:rsid w:val="004459A6"/>
    <w:rsid w:val="00446AB4"/>
    <w:rsid w:val="0044782A"/>
    <w:rsid w:val="00451236"/>
    <w:rsid w:val="0045126B"/>
    <w:rsid w:val="004513F5"/>
    <w:rsid w:val="00452CA7"/>
    <w:rsid w:val="004536FB"/>
    <w:rsid w:val="004560A6"/>
    <w:rsid w:val="00460DB8"/>
    <w:rsid w:val="00461E3A"/>
    <w:rsid w:val="00462A13"/>
    <w:rsid w:val="00462B7A"/>
    <w:rsid w:val="0046519E"/>
    <w:rsid w:val="00465C4A"/>
    <w:rsid w:val="00466595"/>
    <w:rsid w:val="00466D06"/>
    <w:rsid w:val="00470CBC"/>
    <w:rsid w:val="00471B89"/>
    <w:rsid w:val="00471E59"/>
    <w:rsid w:val="00472D97"/>
    <w:rsid w:val="004737DF"/>
    <w:rsid w:val="004755F4"/>
    <w:rsid w:val="00475A31"/>
    <w:rsid w:val="004771F4"/>
    <w:rsid w:val="00480BAE"/>
    <w:rsid w:val="004814FD"/>
    <w:rsid w:val="004818C4"/>
    <w:rsid w:val="00481AAE"/>
    <w:rsid w:val="00482E56"/>
    <w:rsid w:val="00490991"/>
    <w:rsid w:val="0049126E"/>
    <w:rsid w:val="00492FC9"/>
    <w:rsid w:val="004973ED"/>
    <w:rsid w:val="0049772F"/>
    <w:rsid w:val="004A0CBD"/>
    <w:rsid w:val="004A1BFD"/>
    <w:rsid w:val="004A27FC"/>
    <w:rsid w:val="004A35EC"/>
    <w:rsid w:val="004A4A80"/>
    <w:rsid w:val="004A5611"/>
    <w:rsid w:val="004B03B3"/>
    <w:rsid w:val="004B11FB"/>
    <w:rsid w:val="004B1604"/>
    <w:rsid w:val="004B2633"/>
    <w:rsid w:val="004B2889"/>
    <w:rsid w:val="004B2EAB"/>
    <w:rsid w:val="004B2EEE"/>
    <w:rsid w:val="004B3AF8"/>
    <w:rsid w:val="004B4979"/>
    <w:rsid w:val="004B4D59"/>
    <w:rsid w:val="004B5429"/>
    <w:rsid w:val="004B5FCB"/>
    <w:rsid w:val="004B6829"/>
    <w:rsid w:val="004B7B2B"/>
    <w:rsid w:val="004C0333"/>
    <w:rsid w:val="004C1170"/>
    <w:rsid w:val="004C1773"/>
    <w:rsid w:val="004C22BD"/>
    <w:rsid w:val="004C3E37"/>
    <w:rsid w:val="004C3FEC"/>
    <w:rsid w:val="004C5A49"/>
    <w:rsid w:val="004C7E67"/>
    <w:rsid w:val="004D280E"/>
    <w:rsid w:val="004D31A5"/>
    <w:rsid w:val="004D3B38"/>
    <w:rsid w:val="004D66F4"/>
    <w:rsid w:val="004D76FA"/>
    <w:rsid w:val="004E04DC"/>
    <w:rsid w:val="004E1E71"/>
    <w:rsid w:val="004E37D3"/>
    <w:rsid w:val="004E542F"/>
    <w:rsid w:val="004F0F17"/>
    <w:rsid w:val="004F265F"/>
    <w:rsid w:val="004F3ED7"/>
    <w:rsid w:val="004F4550"/>
    <w:rsid w:val="004F5D7A"/>
    <w:rsid w:val="004F7C46"/>
    <w:rsid w:val="00500604"/>
    <w:rsid w:val="00501779"/>
    <w:rsid w:val="005031D3"/>
    <w:rsid w:val="005065D4"/>
    <w:rsid w:val="0051192C"/>
    <w:rsid w:val="00511B13"/>
    <w:rsid w:val="00514535"/>
    <w:rsid w:val="005145D2"/>
    <w:rsid w:val="0051544F"/>
    <w:rsid w:val="005164C1"/>
    <w:rsid w:val="00521E34"/>
    <w:rsid w:val="00521FD1"/>
    <w:rsid w:val="00522272"/>
    <w:rsid w:val="00524EF0"/>
    <w:rsid w:val="00525CAF"/>
    <w:rsid w:val="005260D0"/>
    <w:rsid w:val="00526362"/>
    <w:rsid w:val="00530B95"/>
    <w:rsid w:val="005320AB"/>
    <w:rsid w:val="00532AF1"/>
    <w:rsid w:val="005334D0"/>
    <w:rsid w:val="00534A0D"/>
    <w:rsid w:val="00535070"/>
    <w:rsid w:val="005370B2"/>
    <w:rsid w:val="00537593"/>
    <w:rsid w:val="005375D8"/>
    <w:rsid w:val="00540287"/>
    <w:rsid w:val="005404BB"/>
    <w:rsid w:val="00540AA4"/>
    <w:rsid w:val="00545DB1"/>
    <w:rsid w:val="00547261"/>
    <w:rsid w:val="00547E4B"/>
    <w:rsid w:val="00553F13"/>
    <w:rsid w:val="00556AB5"/>
    <w:rsid w:val="00560B8F"/>
    <w:rsid w:val="005622F3"/>
    <w:rsid w:val="00570822"/>
    <w:rsid w:val="005730ED"/>
    <w:rsid w:val="00573DA9"/>
    <w:rsid w:val="00573E70"/>
    <w:rsid w:val="0057464F"/>
    <w:rsid w:val="00576405"/>
    <w:rsid w:val="00580C8E"/>
    <w:rsid w:val="0058371F"/>
    <w:rsid w:val="00583E4B"/>
    <w:rsid w:val="00584AF1"/>
    <w:rsid w:val="00585CD8"/>
    <w:rsid w:val="00587060"/>
    <w:rsid w:val="00587614"/>
    <w:rsid w:val="005879AE"/>
    <w:rsid w:val="00587D05"/>
    <w:rsid w:val="00590730"/>
    <w:rsid w:val="005907E2"/>
    <w:rsid w:val="0059141A"/>
    <w:rsid w:val="00592FF0"/>
    <w:rsid w:val="0059332E"/>
    <w:rsid w:val="00593ED5"/>
    <w:rsid w:val="00594F64"/>
    <w:rsid w:val="005951CA"/>
    <w:rsid w:val="00596AA1"/>
    <w:rsid w:val="00597A9E"/>
    <w:rsid w:val="005A0EBD"/>
    <w:rsid w:val="005A3FFE"/>
    <w:rsid w:val="005A6CCF"/>
    <w:rsid w:val="005B0E33"/>
    <w:rsid w:val="005B1A48"/>
    <w:rsid w:val="005B2F8A"/>
    <w:rsid w:val="005B4E93"/>
    <w:rsid w:val="005B6652"/>
    <w:rsid w:val="005C0AEF"/>
    <w:rsid w:val="005C0F08"/>
    <w:rsid w:val="005C0FF7"/>
    <w:rsid w:val="005C2367"/>
    <w:rsid w:val="005C262F"/>
    <w:rsid w:val="005C2F28"/>
    <w:rsid w:val="005C38F9"/>
    <w:rsid w:val="005C4C8B"/>
    <w:rsid w:val="005C5390"/>
    <w:rsid w:val="005C73A8"/>
    <w:rsid w:val="005D155B"/>
    <w:rsid w:val="005D1B9C"/>
    <w:rsid w:val="005D49FE"/>
    <w:rsid w:val="005D4AAE"/>
    <w:rsid w:val="005D669F"/>
    <w:rsid w:val="005E016F"/>
    <w:rsid w:val="005E2F48"/>
    <w:rsid w:val="005F12E4"/>
    <w:rsid w:val="005F6888"/>
    <w:rsid w:val="006026F3"/>
    <w:rsid w:val="00602823"/>
    <w:rsid w:val="00603C96"/>
    <w:rsid w:val="00603CFD"/>
    <w:rsid w:val="00606F36"/>
    <w:rsid w:val="00612F52"/>
    <w:rsid w:val="006147B7"/>
    <w:rsid w:val="00615073"/>
    <w:rsid w:val="00615665"/>
    <w:rsid w:val="00615E8E"/>
    <w:rsid w:val="006164CA"/>
    <w:rsid w:val="006168AC"/>
    <w:rsid w:val="00616C33"/>
    <w:rsid w:val="00621661"/>
    <w:rsid w:val="006216F6"/>
    <w:rsid w:val="00622F3C"/>
    <w:rsid w:val="00625E0F"/>
    <w:rsid w:val="00630803"/>
    <w:rsid w:val="00630B54"/>
    <w:rsid w:val="006311C6"/>
    <w:rsid w:val="006316EF"/>
    <w:rsid w:val="00633789"/>
    <w:rsid w:val="00634602"/>
    <w:rsid w:val="0064007A"/>
    <w:rsid w:val="00641A2B"/>
    <w:rsid w:val="00642CCC"/>
    <w:rsid w:val="00644CD3"/>
    <w:rsid w:val="00647C3A"/>
    <w:rsid w:val="00652779"/>
    <w:rsid w:val="00654BAD"/>
    <w:rsid w:val="00655CD5"/>
    <w:rsid w:val="00656757"/>
    <w:rsid w:val="0066105A"/>
    <w:rsid w:val="00661A3D"/>
    <w:rsid w:val="00665868"/>
    <w:rsid w:val="00667D8D"/>
    <w:rsid w:val="00675170"/>
    <w:rsid w:val="00680D03"/>
    <w:rsid w:val="00681750"/>
    <w:rsid w:val="00682B96"/>
    <w:rsid w:val="006852D3"/>
    <w:rsid w:val="006914AE"/>
    <w:rsid w:val="00691BBB"/>
    <w:rsid w:val="006931F8"/>
    <w:rsid w:val="006948F6"/>
    <w:rsid w:val="006950E1"/>
    <w:rsid w:val="00695CDA"/>
    <w:rsid w:val="00695E9F"/>
    <w:rsid w:val="0069655C"/>
    <w:rsid w:val="006A49B4"/>
    <w:rsid w:val="006A4AB8"/>
    <w:rsid w:val="006A5DF2"/>
    <w:rsid w:val="006A5EF5"/>
    <w:rsid w:val="006A6FB3"/>
    <w:rsid w:val="006A77A5"/>
    <w:rsid w:val="006A788C"/>
    <w:rsid w:val="006B00E0"/>
    <w:rsid w:val="006B0E14"/>
    <w:rsid w:val="006B3005"/>
    <w:rsid w:val="006B44D9"/>
    <w:rsid w:val="006B61DF"/>
    <w:rsid w:val="006B6414"/>
    <w:rsid w:val="006C0A37"/>
    <w:rsid w:val="006C39C0"/>
    <w:rsid w:val="006C67C6"/>
    <w:rsid w:val="006C7052"/>
    <w:rsid w:val="006D087C"/>
    <w:rsid w:val="006D19C5"/>
    <w:rsid w:val="006E0893"/>
    <w:rsid w:val="006E1B63"/>
    <w:rsid w:val="006E28C4"/>
    <w:rsid w:val="006E7935"/>
    <w:rsid w:val="006E7E26"/>
    <w:rsid w:val="006F3AD7"/>
    <w:rsid w:val="006F4484"/>
    <w:rsid w:val="006F4A2A"/>
    <w:rsid w:val="006F5466"/>
    <w:rsid w:val="006F5DFF"/>
    <w:rsid w:val="006F7FF5"/>
    <w:rsid w:val="00700B74"/>
    <w:rsid w:val="007012ED"/>
    <w:rsid w:val="0070760E"/>
    <w:rsid w:val="007079B2"/>
    <w:rsid w:val="00707AF7"/>
    <w:rsid w:val="0071005D"/>
    <w:rsid w:val="007108C6"/>
    <w:rsid w:val="00711762"/>
    <w:rsid w:val="0071283B"/>
    <w:rsid w:val="00712EFE"/>
    <w:rsid w:val="007131AA"/>
    <w:rsid w:val="00714F6A"/>
    <w:rsid w:val="00716358"/>
    <w:rsid w:val="007173DB"/>
    <w:rsid w:val="00720656"/>
    <w:rsid w:val="0072076C"/>
    <w:rsid w:val="00720EE0"/>
    <w:rsid w:val="00722416"/>
    <w:rsid w:val="00723B07"/>
    <w:rsid w:val="00725A94"/>
    <w:rsid w:val="0072787F"/>
    <w:rsid w:val="007310F8"/>
    <w:rsid w:val="00731DA8"/>
    <w:rsid w:val="0073341A"/>
    <w:rsid w:val="00733FF8"/>
    <w:rsid w:val="00737C3E"/>
    <w:rsid w:val="00737E47"/>
    <w:rsid w:val="0074184D"/>
    <w:rsid w:val="0074275D"/>
    <w:rsid w:val="0074411E"/>
    <w:rsid w:val="00744360"/>
    <w:rsid w:val="00745B6E"/>
    <w:rsid w:val="007464B7"/>
    <w:rsid w:val="0074736B"/>
    <w:rsid w:val="00750FDF"/>
    <w:rsid w:val="00751A9F"/>
    <w:rsid w:val="00752D27"/>
    <w:rsid w:val="00757665"/>
    <w:rsid w:val="00757D0E"/>
    <w:rsid w:val="007609EC"/>
    <w:rsid w:val="0076266B"/>
    <w:rsid w:val="00764343"/>
    <w:rsid w:val="007650B4"/>
    <w:rsid w:val="00766C4D"/>
    <w:rsid w:val="00766FEE"/>
    <w:rsid w:val="0077205F"/>
    <w:rsid w:val="00776672"/>
    <w:rsid w:val="0077775B"/>
    <w:rsid w:val="00781ADD"/>
    <w:rsid w:val="00785869"/>
    <w:rsid w:val="00786AF2"/>
    <w:rsid w:val="00786BD8"/>
    <w:rsid w:val="00786FC7"/>
    <w:rsid w:val="00787598"/>
    <w:rsid w:val="0079008E"/>
    <w:rsid w:val="00791ED8"/>
    <w:rsid w:val="00792ADB"/>
    <w:rsid w:val="00793739"/>
    <w:rsid w:val="00796458"/>
    <w:rsid w:val="00796B23"/>
    <w:rsid w:val="007A3613"/>
    <w:rsid w:val="007B1520"/>
    <w:rsid w:val="007B18D1"/>
    <w:rsid w:val="007B219D"/>
    <w:rsid w:val="007B335E"/>
    <w:rsid w:val="007B63FA"/>
    <w:rsid w:val="007B74C7"/>
    <w:rsid w:val="007B7EF7"/>
    <w:rsid w:val="007C1C9E"/>
    <w:rsid w:val="007C25B4"/>
    <w:rsid w:val="007C28CB"/>
    <w:rsid w:val="007C3FF3"/>
    <w:rsid w:val="007C41C0"/>
    <w:rsid w:val="007C4736"/>
    <w:rsid w:val="007C7AB9"/>
    <w:rsid w:val="007D0101"/>
    <w:rsid w:val="007D07D5"/>
    <w:rsid w:val="007D4D6F"/>
    <w:rsid w:val="007D6672"/>
    <w:rsid w:val="007D7267"/>
    <w:rsid w:val="007D7349"/>
    <w:rsid w:val="007D766E"/>
    <w:rsid w:val="007E01E5"/>
    <w:rsid w:val="007E174E"/>
    <w:rsid w:val="007E25BB"/>
    <w:rsid w:val="007E424F"/>
    <w:rsid w:val="007F0439"/>
    <w:rsid w:val="007F1DDE"/>
    <w:rsid w:val="007F1EA9"/>
    <w:rsid w:val="007F2039"/>
    <w:rsid w:val="007F397C"/>
    <w:rsid w:val="007F4561"/>
    <w:rsid w:val="007F7ADB"/>
    <w:rsid w:val="00800E6C"/>
    <w:rsid w:val="008023E5"/>
    <w:rsid w:val="00804790"/>
    <w:rsid w:val="008060FD"/>
    <w:rsid w:val="008121AC"/>
    <w:rsid w:val="008128F8"/>
    <w:rsid w:val="008165D6"/>
    <w:rsid w:val="00820F19"/>
    <w:rsid w:val="0082179F"/>
    <w:rsid w:val="008254D4"/>
    <w:rsid w:val="008263D7"/>
    <w:rsid w:val="0082669B"/>
    <w:rsid w:val="00830413"/>
    <w:rsid w:val="008357DE"/>
    <w:rsid w:val="008365A0"/>
    <w:rsid w:val="00836643"/>
    <w:rsid w:val="008403B2"/>
    <w:rsid w:val="00841EC5"/>
    <w:rsid w:val="00841FE6"/>
    <w:rsid w:val="00842303"/>
    <w:rsid w:val="00842FFF"/>
    <w:rsid w:val="00843124"/>
    <w:rsid w:val="008432C7"/>
    <w:rsid w:val="008433E6"/>
    <w:rsid w:val="00850F67"/>
    <w:rsid w:val="00853279"/>
    <w:rsid w:val="008544A5"/>
    <w:rsid w:val="00855481"/>
    <w:rsid w:val="008576F5"/>
    <w:rsid w:val="008579EA"/>
    <w:rsid w:val="00860FB4"/>
    <w:rsid w:val="0086143E"/>
    <w:rsid w:val="00861D2C"/>
    <w:rsid w:val="008634EA"/>
    <w:rsid w:val="008636AC"/>
    <w:rsid w:val="0086747C"/>
    <w:rsid w:val="0086773F"/>
    <w:rsid w:val="00870955"/>
    <w:rsid w:val="00873C5B"/>
    <w:rsid w:val="0087444D"/>
    <w:rsid w:val="0087487D"/>
    <w:rsid w:val="00875985"/>
    <w:rsid w:val="00880CA4"/>
    <w:rsid w:val="00881AB7"/>
    <w:rsid w:val="00882BAB"/>
    <w:rsid w:val="00883EF7"/>
    <w:rsid w:val="008843CF"/>
    <w:rsid w:val="0088484C"/>
    <w:rsid w:val="0088618D"/>
    <w:rsid w:val="00886831"/>
    <w:rsid w:val="00887E4A"/>
    <w:rsid w:val="0089055A"/>
    <w:rsid w:val="00890850"/>
    <w:rsid w:val="00890CF8"/>
    <w:rsid w:val="00891AA3"/>
    <w:rsid w:val="008924CD"/>
    <w:rsid w:val="00894AE9"/>
    <w:rsid w:val="00896A66"/>
    <w:rsid w:val="00897893"/>
    <w:rsid w:val="008A1EC0"/>
    <w:rsid w:val="008A1FE8"/>
    <w:rsid w:val="008A2767"/>
    <w:rsid w:val="008A77BD"/>
    <w:rsid w:val="008A7933"/>
    <w:rsid w:val="008B26CF"/>
    <w:rsid w:val="008B2FA6"/>
    <w:rsid w:val="008B527A"/>
    <w:rsid w:val="008B5288"/>
    <w:rsid w:val="008B6332"/>
    <w:rsid w:val="008B6636"/>
    <w:rsid w:val="008B6949"/>
    <w:rsid w:val="008B703D"/>
    <w:rsid w:val="008C01D9"/>
    <w:rsid w:val="008C0614"/>
    <w:rsid w:val="008C1762"/>
    <w:rsid w:val="008C252A"/>
    <w:rsid w:val="008C4B53"/>
    <w:rsid w:val="008C78D8"/>
    <w:rsid w:val="008C7EF3"/>
    <w:rsid w:val="008D11BF"/>
    <w:rsid w:val="008D1373"/>
    <w:rsid w:val="008D6E45"/>
    <w:rsid w:val="008D7219"/>
    <w:rsid w:val="008E3D9E"/>
    <w:rsid w:val="008E5303"/>
    <w:rsid w:val="008E6009"/>
    <w:rsid w:val="008E70BB"/>
    <w:rsid w:val="008E78D2"/>
    <w:rsid w:val="008F1F23"/>
    <w:rsid w:val="008F451C"/>
    <w:rsid w:val="0090035C"/>
    <w:rsid w:val="00903293"/>
    <w:rsid w:val="00903AD7"/>
    <w:rsid w:val="00905918"/>
    <w:rsid w:val="009111EE"/>
    <w:rsid w:val="009136A0"/>
    <w:rsid w:val="00913DB7"/>
    <w:rsid w:val="0091416C"/>
    <w:rsid w:val="009150BF"/>
    <w:rsid w:val="00916F8C"/>
    <w:rsid w:val="0091720A"/>
    <w:rsid w:val="00920F35"/>
    <w:rsid w:val="0092263C"/>
    <w:rsid w:val="00924979"/>
    <w:rsid w:val="00925331"/>
    <w:rsid w:val="0092696E"/>
    <w:rsid w:val="00926EA5"/>
    <w:rsid w:val="00927875"/>
    <w:rsid w:val="00931074"/>
    <w:rsid w:val="0093223B"/>
    <w:rsid w:val="00933FA4"/>
    <w:rsid w:val="00934111"/>
    <w:rsid w:val="0093418B"/>
    <w:rsid w:val="009342FA"/>
    <w:rsid w:val="00934CE8"/>
    <w:rsid w:val="00935FBF"/>
    <w:rsid w:val="009369CA"/>
    <w:rsid w:val="0093704B"/>
    <w:rsid w:val="00937EF4"/>
    <w:rsid w:val="009433CE"/>
    <w:rsid w:val="00945C18"/>
    <w:rsid w:val="00946CF5"/>
    <w:rsid w:val="0094779F"/>
    <w:rsid w:val="00947C56"/>
    <w:rsid w:val="00950177"/>
    <w:rsid w:val="0095035C"/>
    <w:rsid w:val="00950D36"/>
    <w:rsid w:val="009512C7"/>
    <w:rsid w:val="009518CD"/>
    <w:rsid w:val="0095292D"/>
    <w:rsid w:val="00954F70"/>
    <w:rsid w:val="00955216"/>
    <w:rsid w:val="00956DA7"/>
    <w:rsid w:val="009601AF"/>
    <w:rsid w:val="0096028B"/>
    <w:rsid w:val="00960C2A"/>
    <w:rsid w:val="0096107C"/>
    <w:rsid w:val="00963011"/>
    <w:rsid w:val="00964C8C"/>
    <w:rsid w:val="00964D35"/>
    <w:rsid w:val="00966C37"/>
    <w:rsid w:val="0097159E"/>
    <w:rsid w:val="00971A43"/>
    <w:rsid w:val="00972577"/>
    <w:rsid w:val="00974C40"/>
    <w:rsid w:val="00974C84"/>
    <w:rsid w:val="009753C7"/>
    <w:rsid w:val="0097682B"/>
    <w:rsid w:val="00977819"/>
    <w:rsid w:val="00980907"/>
    <w:rsid w:val="009838B5"/>
    <w:rsid w:val="0098408B"/>
    <w:rsid w:val="00985047"/>
    <w:rsid w:val="00985481"/>
    <w:rsid w:val="009854E8"/>
    <w:rsid w:val="00985B34"/>
    <w:rsid w:val="00986667"/>
    <w:rsid w:val="00986F37"/>
    <w:rsid w:val="0098700B"/>
    <w:rsid w:val="0098703E"/>
    <w:rsid w:val="00987300"/>
    <w:rsid w:val="00992141"/>
    <w:rsid w:val="00992662"/>
    <w:rsid w:val="00992C80"/>
    <w:rsid w:val="00992C8D"/>
    <w:rsid w:val="00996C20"/>
    <w:rsid w:val="00997077"/>
    <w:rsid w:val="009A10B7"/>
    <w:rsid w:val="009A1243"/>
    <w:rsid w:val="009A5FCD"/>
    <w:rsid w:val="009A71A9"/>
    <w:rsid w:val="009B0686"/>
    <w:rsid w:val="009B656B"/>
    <w:rsid w:val="009C053E"/>
    <w:rsid w:val="009C1B87"/>
    <w:rsid w:val="009C3C0B"/>
    <w:rsid w:val="009C4836"/>
    <w:rsid w:val="009C546F"/>
    <w:rsid w:val="009C5D79"/>
    <w:rsid w:val="009C5E48"/>
    <w:rsid w:val="009C638C"/>
    <w:rsid w:val="009C7B71"/>
    <w:rsid w:val="009D03D6"/>
    <w:rsid w:val="009D0655"/>
    <w:rsid w:val="009D09C6"/>
    <w:rsid w:val="009D0FF9"/>
    <w:rsid w:val="009D1A5F"/>
    <w:rsid w:val="009D4175"/>
    <w:rsid w:val="009D58D0"/>
    <w:rsid w:val="009D642F"/>
    <w:rsid w:val="009D7A8A"/>
    <w:rsid w:val="009E0871"/>
    <w:rsid w:val="009E2983"/>
    <w:rsid w:val="009E6760"/>
    <w:rsid w:val="009E68E9"/>
    <w:rsid w:val="009E7C3F"/>
    <w:rsid w:val="009F2B51"/>
    <w:rsid w:val="009F2D91"/>
    <w:rsid w:val="009F340C"/>
    <w:rsid w:val="009F3DCB"/>
    <w:rsid w:val="009F7D71"/>
    <w:rsid w:val="00A018F9"/>
    <w:rsid w:val="00A03F23"/>
    <w:rsid w:val="00A056DE"/>
    <w:rsid w:val="00A07020"/>
    <w:rsid w:val="00A077DE"/>
    <w:rsid w:val="00A1262F"/>
    <w:rsid w:val="00A12D02"/>
    <w:rsid w:val="00A13752"/>
    <w:rsid w:val="00A15457"/>
    <w:rsid w:val="00A15830"/>
    <w:rsid w:val="00A21D65"/>
    <w:rsid w:val="00A24535"/>
    <w:rsid w:val="00A24A7D"/>
    <w:rsid w:val="00A25827"/>
    <w:rsid w:val="00A261D0"/>
    <w:rsid w:val="00A27165"/>
    <w:rsid w:val="00A2739A"/>
    <w:rsid w:val="00A3023D"/>
    <w:rsid w:val="00A332D6"/>
    <w:rsid w:val="00A40495"/>
    <w:rsid w:val="00A40FC7"/>
    <w:rsid w:val="00A41F93"/>
    <w:rsid w:val="00A43E3E"/>
    <w:rsid w:val="00A44082"/>
    <w:rsid w:val="00A479BA"/>
    <w:rsid w:val="00A5060B"/>
    <w:rsid w:val="00A50A73"/>
    <w:rsid w:val="00A51C8F"/>
    <w:rsid w:val="00A53074"/>
    <w:rsid w:val="00A5319A"/>
    <w:rsid w:val="00A54473"/>
    <w:rsid w:val="00A551C0"/>
    <w:rsid w:val="00A5539A"/>
    <w:rsid w:val="00A55D98"/>
    <w:rsid w:val="00A5691D"/>
    <w:rsid w:val="00A5711B"/>
    <w:rsid w:val="00A647E1"/>
    <w:rsid w:val="00A67CAD"/>
    <w:rsid w:val="00A7146E"/>
    <w:rsid w:val="00A71F67"/>
    <w:rsid w:val="00A72D59"/>
    <w:rsid w:val="00A73548"/>
    <w:rsid w:val="00A7405C"/>
    <w:rsid w:val="00A74630"/>
    <w:rsid w:val="00A764C7"/>
    <w:rsid w:val="00A779E4"/>
    <w:rsid w:val="00A80061"/>
    <w:rsid w:val="00A83972"/>
    <w:rsid w:val="00A83AE7"/>
    <w:rsid w:val="00A83BD8"/>
    <w:rsid w:val="00A84DA1"/>
    <w:rsid w:val="00A85981"/>
    <w:rsid w:val="00A859D4"/>
    <w:rsid w:val="00A86EE2"/>
    <w:rsid w:val="00A93254"/>
    <w:rsid w:val="00A96235"/>
    <w:rsid w:val="00A96B8B"/>
    <w:rsid w:val="00A97712"/>
    <w:rsid w:val="00AA0AE3"/>
    <w:rsid w:val="00AA1944"/>
    <w:rsid w:val="00AA2905"/>
    <w:rsid w:val="00AA2AD9"/>
    <w:rsid w:val="00AA6174"/>
    <w:rsid w:val="00AA7931"/>
    <w:rsid w:val="00AA797B"/>
    <w:rsid w:val="00AA7E01"/>
    <w:rsid w:val="00AB07D9"/>
    <w:rsid w:val="00AB0D94"/>
    <w:rsid w:val="00AB0EF2"/>
    <w:rsid w:val="00AB118F"/>
    <w:rsid w:val="00AB2A6B"/>
    <w:rsid w:val="00AB57B1"/>
    <w:rsid w:val="00AB5E05"/>
    <w:rsid w:val="00AC04DE"/>
    <w:rsid w:val="00AC076B"/>
    <w:rsid w:val="00AC0E20"/>
    <w:rsid w:val="00AC0E43"/>
    <w:rsid w:val="00AC2026"/>
    <w:rsid w:val="00AC2BFB"/>
    <w:rsid w:val="00AC3B02"/>
    <w:rsid w:val="00AC50E6"/>
    <w:rsid w:val="00AC56AF"/>
    <w:rsid w:val="00AC5799"/>
    <w:rsid w:val="00AC6912"/>
    <w:rsid w:val="00AD2A7C"/>
    <w:rsid w:val="00AD39D4"/>
    <w:rsid w:val="00AD4368"/>
    <w:rsid w:val="00AD4728"/>
    <w:rsid w:val="00AD4875"/>
    <w:rsid w:val="00AD4E20"/>
    <w:rsid w:val="00AD5193"/>
    <w:rsid w:val="00AE0479"/>
    <w:rsid w:val="00AE0E71"/>
    <w:rsid w:val="00AE11D5"/>
    <w:rsid w:val="00AE1B54"/>
    <w:rsid w:val="00AE22E5"/>
    <w:rsid w:val="00AE2673"/>
    <w:rsid w:val="00AE2DD9"/>
    <w:rsid w:val="00AE42BC"/>
    <w:rsid w:val="00AE43A3"/>
    <w:rsid w:val="00AE66E3"/>
    <w:rsid w:val="00AF00D2"/>
    <w:rsid w:val="00AF0821"/>
    <w:rsid w:val="00AF314A"/>
    <w:rsid w:val="00AF3E19"/>
    <w:rsid w:val="00AF4B13"/>
    <w:rsid w:val="00AF5A8B"/>
    <w:rsid w:val="00B00761"/>
    <w:rsid w:val="00B00919"/>
    <w:rsid w:val="00B012A7"/>
    <w:rsid w:val="00B01306"/>
    <w:rsid w:val="00B017A2"/>
    <w:rsid w:val="00B029DD"/>
    <w:rsid w:val="00B02B52"/>
    <w:rsid w:val="00B047E9"/>
    <w:rsid w:val="00B13674"/>
    <w:rsid w:val="00B13AB7"/>
    <w:rsid w:val="00B2110B"/>
    <w:rsid w:val="00B22ABE"/>
    <w:rsid w:val="00B233AF"/>
    <w:rsid w:val="00B23563"/>
    <w:rsid w:val="00B23B79"/>
    <w:rsid w:val="00B23DE7"/>
    <w:rsid w:val="00B2441D"/>
    <w:rsid w:val="00B249BC"/>
    <w:rsid w:val="00B2633C"/>
    <w:rsid w:val="00B26AF1"/>
    <w:rsid w:val="00B274F9"/>
    <w:rsid w:val="00B27502"/>
    <w:rsid w:val="00B27E1B"/>
    <w:rsid w:val="00B30297"/>
    <w:rsid w:val="00B31B14"/>
    <w:rsid w:val="00B321E0"/>
    <w:rsid w:val="00B33883"/>
    <w:rsid w:val="00B34F02"/>
    <w:rsid w:val="00B36240"/>
    <w:rsid w:val="00B366DA"/>
    <w:rsid w:val="00B41043"/>
    <w:rsid w:val="00B412EC"/>
    <w:rsid w:val="00B4442C"/>
    <w:rsid w:val="00B462E5"/>
    <w:rsid w:val="00B46C19"/>
    <w:rsid w:val="00B47CF7"/>
    <w:rsid w:val="00B513BC"/>
    <w:rsid w:val="00B51755"/>
    <w:rsid w:val="00B51E95"/>
    <w:rsid w:val="00B53AED"/>
    <w:rsid w:val="00B53D72"/>
    <w:rsid w:val="00B55E81"/>
    <w:rsid w:val="00B609AA"/>
    <w:rsid w:val="00B6211B"/>
    <w:rsid w:val="00B64D51"/>
    <w:rsid w:val="00B6554E"/>
    <w:rsid w:val="00B65952"/>
    <w:rsid w:val="00B65B19"/>
    <w:rsid w:val="00B66E17"/>
    <w:rsid w:val="00B71421"/>
    <w:rsid w:val="00B75D8C"/>
    <w:rsid w:val="00B81575"/>
    <w:rsid w:val="00B82753"/>
    <w:rsid w:val="00B83F68"/>
    <w:rsid w:val="00B84921"/>
    <w:rsid w:val="00B85257"/>
    <w:rsid w:val="00B856E9"/>
    <w:rsid w:val="00B8629A"/>
    <w:rsid w:val="00B86AC5"/>
    <w:rsid w:val="00B8762D"/>
    <w:rsid w:val="00B92655"/>
    <w:rsid w:val="00B92DC1"/>
    <w:rsid w:val="00B9375E"/>
    <w:rsid w:val="00B940C3"/>
    <w:rsid w:val="00B95944"/>
    <w:rsid w:val="00B95C9A"/>
    <w:rsid w:val="00B95D7C"/>
    <w:rsid w:val="00B9688D"/>
    <w:rsid w:val="00BA1371"/>
    <w:rsid w:val="00BA2AD9"/>
    <w:rsid w:val="00BA3B2D"/>
    <w:rsid w:val="00BA3F86"/>
    <w:rsid w:val="00BA43B5"/>
    <w:rsid w:val="00BA5E9D"/>
    <w:rsid w:val="00BB2AB5"/>
    <w:rsid w:val="00BB4487"/>
    <w:rsid w:val="00BB46E0"/>
    <w:rsid w:val="00BB7383"/>
    <w:rsid w:val="00BB7675"/>
    <w:rsid w:val="00BC05B3"/>
    <w:rsid w:val="00BC5122"/>
    <w:rsid w:val="00BD1C95"/>
    <w:rsid w:val="00BD1CBF"/>
    <w:rsid w:val="00BD2155"/>
    <w:rsid w:val="00BD38A2"/>
    <w:rsid w:val="00BD597D"/>
    <w:rsid w:val="00BD59DC"/>
    <w:rsid w:val="00BD7425"/>
    <w:rsid w:val="00BD77C8"/>
    <w:rsid w:val="00BD7EF8"/>
    <w:rsid w:val="00BE0CE6"/>
    <w:rsid w:val="00BE0F69"/>
    <w:rsid w:val="00BE43F1"/>
    <w:rsid w:val="00BE4A1A"/>
    <w:rsid w:val="00BE50CC"/>
    <w:rsid w:val="00BE61E5"/>
    <w:rsid w:val="00BE624E"/>
    <w:rsid w:val="00BE63F2"/>
    <w:rsid w:val="00BE64FA"/>
    <w:rsid w:val="00BF1ABC"/>
    <w:rsid w:val="00BF1BDE"/>
    <w:rsid w:val="00BF237E"/>
    <w:rsid w:val="00BF3C25"/>
    <w:rsid w:val="00BF44BE"/>
    <w:rsid w:val="00BF5921"/>
    <w:rsid w:val="00BF7FFC"/>
    <w:rsid w:val="00C00C37"/>
    <w:rsid w:val="00C03B7C"/>
    <w:rsid w:val="00C04D13"/>
    <w:rsid w:val="00C12C47"/>
    <w:rsid w:val="00C13197"/>
    <w:rsid w:val="00C13CE7"/>
    <w:rsid w:val="00C2013A"/>
    <w:rsid w:val="00C2099E"/>
    <w:rsid w:val="00C2321D"/>
    <w:rsid w:val="00C24633"/>
    <w:rsid w:val="00C333F6"/>
    <w:rsid w:val="00C345A7"/>
    <w:rsid w:val="00C34F20"/>
    <w:rsid w:val="00C37050"/>
    <w:rsid w:val="00C424BE"/>
    <w:rsid w:val="00C42B5B"/>
    <w:rsid w:val="00C430A0"/>
    <w:rsid w:val="00C462FE"/>
    <w:rsid w:val="00C464DF"/>
    <w:rsid w:val="00C465BB"/>
    <w:rsid w:val="00C46F8F"/>
    <w:rsid w:val="00C474E2"/>
    <w:rsid w:val="00C52762"/>
    <w:rsid w:val="00C53E2D"/>
    <w:rsid w:val="00C54B55"/>
    <w:rsid w:val="00C54C3D"/>
    <w:rsid w:val="00C55F25"/>
    <w:rsid w:val="00C57703"/>
    <w:rsid w:val="00C57754"/>
    <w:rsid w:val="00C57E88"/>
    <w:rsid w:val="00C60EE0"/>
    <w:rsid w:val="00C668DF"/>
    <w:rsid w:val="00C66B1E"/>
    <w:rsid w:val="00C66FB4"/>
    <w:rsid w:val="00C67784"/>
    <w:rsid w:val="00C67C1D"/>
    <w:rsid w:val="00C70DF6"/>
    <w:rsid w:val="00C75F5F"/>
    <w:rsid w:val="00C765C8"/>
    <w:rsid w:val="00C805AB"/>
    <w:rsid w:val="00C84B42"/>
    <w:rsid w:val="00C85C86"/>
    <w:rsid w:val="00C9364E"/>
    <w:rsid w:val="00C938B9"/>
    <w:rsid w:val="00C93988"/>
    <w:rsid w:val="00C94290"/>
    <w:rsid w:val="00C9564E"/>
    <w:rsid w:val="00C95994"/>
    <w:rsid w:val="00C96A83"/>
    <w:rsid w:val="00C97DC9"/>
    <w:rsid w:val="00CA1288"/>
    <w:rsid w:val="00CA2919"/>
    <w:rsid w:val="00CA496A"/>
    <w:rsid w:val="00CA5EA5"/>
    <w:rsid w:val="00CA77AC"/>
    <w:rsid w:val="00CA7D60"/>
    <w:rsid w:val="00CB0951"/>
    <w:rsid w:val="00CB22B3"/>
    <w:rsid w:val="00CB287A"/>
    <w:rsid w:val="00CB35D6"/>
    <w:rsid w:val="00CB38C6"/>
    <w:rsid w:val="00CB3E98"/>
    <w:rsid w:val="00CB50C3"/>
    <w:rsid w:val="00CB5584"/>
    <w:rsid w:val="00CC16E3"/>
    <w:rsid w:val="00CC4A54"/>
    <w:rsid w:val="00CC522A"/>
    <w:rsid w:val="00CC6E2F"/>
    <w:rsid w:val="00CC712C"/>
    <w:rsid w:val="00CC7255"/>
    <w:rsid w:val="00CC76A8"/>
    <w:rsid w:val="00CC78BD"/>
    <w:rsid w:val="00CD4224"/>
    <w:rsid w:val="00CD4A93"/>
    <w:rsid w:val="00CD56A8"/>
    <w:rsid w:val="00CD5C93"/>
    <w:rsid w:val="00CD6F2A"/>
    <w:rsid w:val="00CE38F7"/>
    <w:rsid w:val="00CE3E09"/>
    <w:rsid w:val="00CE50DE"/>
    <w:rsid w:val="00CE518D"/>
    <w:rsid w:val="00CE6C37"/>
    <w:rsid w:val="00CE71AA"/>
    <w:rsid w:val="00CF2D1B"/>
    <w:rsid w:val="00CF2FD5"/>
    <w:rsid w:val="00CF3B55"/>
    <w:rsid w:val="00CF6B4F"/>
    <w:rsid w:val="00D00EBE"/>
    <w:rsid w:val="00D02BD5"/>
    <w:rsid w:val="00D03A74"/>
    <w:rsid w:val="00D06F1B"/>
    <w:rsid w:val="00D072BD"/>
    <w:rsid w:val="00D078DA"/>
    <w:rsid w:val="00D11140"/>
    <w:rsid w:val="00D128F0"/>
    <w:rsid w:val="00D12E04"/>
    <w:rsid w:val="00D15C7C"/>
    <w:rsid w:val="00D16D46"/>
    <w:rsid w:val="00D17942"/>
    <w:rsid w:val="00D20B0C"/>
    <w:rsid w:val="00D22A3E"/>
    <w:rsid w:val="00D24752"/>
    <w:rsid w:val="00D265B9"/>
    <w:rsid w:val="00D27312"/>
    <w:rsid w:val="00D313B1"/>
    <w:rsid w:val="00D31E70"/>
    <w:rsid w:val="00D321E1"/>
    <w:rsid w:val="00D32885"/>
    <w:rsid w:val="00D3323C"/>
    <w:rsid w:val="00D3343B"/>
    <w:rsid w:val="00D35110"/>
    <w:rsid w:val="00D3578F"/>
    <w:rsid w:val="00D35CCB"/>
    <w:rsid w:val="00D37BC6"/>
    <w:rsid w:val="00D4050E"/>
    <w:rsid w:val="00D40ADB"/>
    <w:rsid w:val="00D42F62"/>
    <w:rsid w:val="00D4619B"/>
    <w:rsid w:val="00D46AFD"/>
    <w:rsid w:val="00D476F8"/>
    <w:rsid w:val="00D501B1"/>
    <w:rsid w:val="00D501E7"/>
    <w:rsid w:val="00D512CA"/>
    <w:rsid w:val="00D537F5"/>
    <w:rsid w:val="00D543D8"/>
    <w:rsid w:val="00D565C5"/>
    <w:rsid w:val="00D57230"/>
    <w:rsid w:val="00D57B3E"/>
    <w:rsid w:val="00D6110D"/>
    <w:rsid w:val="00D6199F"/>
    <w:rsid w:val="00D62C44"/>
    <w:rsid w:val="00D6497A"/>
    <w:rsid w:val="00D72F31"/>
    <w:rsid w:val="00D761E2"/>
    <w:rsid w:val="00D775B6"/>
    <w:rsid w:val="00D77EB3"/>
    <w:rsid w:val="00D80063"/>
    <w:rsid w:val="00D80362"/>
    <w:rsid w:val="00D82F02"/>
    <w:rsid w:val="00D83861"/>
    <w:rsid w:val="00D863B5"/>
    <w:rsid w:val="00D86885"/>
    <w:rsid w:val="00D87014"/>
    <w:rsid w:val="00D8774E"/>
    <w:rsid w:val="00D90DD7"/>
    <w:rsid w:val="00D9254C"/>
    <w:rsid w:val="00D92CB8"/>
    <w:rsid w:val="00DA15FF"/>
    <w:rsid w:val="00DA1B56"/>
    <w:rsid w:val="00DA2575"/>
    <w:rsid w:val="00DA36D8"/>
    <w:rsid w:val="00DA3848"/>
    <w:rsid w:val="00DA3E2F"/>
    <w:rsid w:val="00DA537C"/>
    <w:rsid w:val="00DA7F9A"/>
    <w:rsid w:val="00DB29E8"/>
    <w:rsid w:val="00DB48A4"/>
    <w:rsid w:val="00DC1753"/>
    <w:rsid w:val="00DC396A"/>
    <w:rsid w:val="00DC4F5C"/>
    <w:rsid w:val="00DC532A"/>
    <w:rsid w:val="00DC5740"/>
    <w:rsid w:val="00DC581C"/>
    <w:rsid w:val="00DC712A"/>
    <w:rsid w:val="00DC715A"/>
    <w:rsid w:val="00DC7322"/>
    <w:rsid w:val="00DD05D6"/>
    <w:rsid w:val="00DD0806"/>
    <w:rsid w:val="00DD0FCF"/>
    <w:rsid w:val="00DD1276"/>
    <w:rsid w:val="00DD20D9"/>
    <w:rsid w:val="00DD3D62"/>
    <w:rsid w:val="00DD43C5"/>
    <w:rsid w:val="00DE2912"/>
    <w:rsid w:val="00DE636E"/>
    <w:rsid w:val="00DE79B7"/>
    <w:rsid w:val="00DF064A"/>
    <w:rsid w:val="00DF16DD"/>
    <w:rsid w:val="00DF26D4"/>
    <w:rsid w:val="00DF2D9F"/>
    <w:rsid w:val="00DF383F"/>
    <w:rsid w:val="00DF4DDA"/>
    <w:rsid w:val="00DF5CBD"/>
    <w:rsid w:val="00DF6530"/>
    <w:rsid w:val="00DF675D"/>
    <w:rsid w:val="00E000CD"/>
    <w:rsid w:val="00E00E19"/>
    <w:rsid w:val="00E02F65"/>
    <w:rsid w:val="00E042A5"/>
    <w:rsid w:val="00E04620"/>
    <w:rsid w:val="00E04D78"/>
    <w:rsid w:val="00E078EA"/>
    <w:rsid w:val="00E07F9D"/>
    <w:rsid w:val="00E10746"/>
    <w:rsid w:val="00E10D2C"/>
    <w:rsid w:val="00E119C7"/>
    <w:rsid w:val="00E124EA"/>
    <w:rsid w:val="00E13064"/>
    <w:rsid w:val="00E137BE"/>
    <w:rsid w:val="00E13EB5"/>
    <w:rsid w:val="00E16249"/>
    <w:rsid w:val="00E1724D"/>
    <w:rsid w:val="00E17928"/>
    <w:rsid w:val="00E211C5"/>
    <w:rsid w:val="00E211CF"/>
    <w:rsid w:val="00E21F1E"/>
    <w:rsid w:val="00E21F7F"/>
    <w:rsid w:val="00E2734E"/>
    <w:rsid w:val="00E27455"/>
    <w:rsid w:val="00E30FAF"/>
    <w:rsid w:val="00E33E98"/>
    <w:rsid w:val="00E34087"/>
    <w:rsid w:val="00E34105"/>
    <w:rsid w:val="00E347ED"/>
    <w:rsid w:val="00E36082"/>
    <w:rsid w:val="00E3755E"/>
    <w:rsid w:val="00E37891"/>
    <w:rsid w:val="00E40CE6"/>
    <w:rsid w:val="00E41A01"/>
    <w:rsid w:val="00E46ECE"/>
    <w:rsid w:val="00E47809"/>
    <w:rsid w:val="00E517E4"/>
    <w:rsid w:val="00E518EF"/>
    <w:rsid w:val="00E52058"/>
    <w:rsid w:val="00E5627C"/>
    <w:rsid w:val="00E625C2"/>
    <w:rsid w:val="00E647E2"/>
    <w:rsid w:val="00E67784"/>
    <w:rsid w:val="00E67CEA"/>
    <w:rsid w:val="00E701F2"/>
    <w:rsid w:val="00E73D99"/>
    <w:rsid w:val="00E740A2"/>
    <w:rsid w:val="00E76DA5"/>
    <w:rsid w:val="00E77FE0"/>
    <w:rsid w:val="00E8408E"/>
    <w:rsid w:val="00E84C07"/>
    <w:rsid w:val="00E84FCE"/>
    <w:rsid w:val="00E85116"/>
    <w:rsid w:val="00E87719"/>
    <w:rsid w:val="00E901F6"/>
    <w:rsid w:val="00E93FB1"/>
    <w:rsid w:val="00E94310"/>
    <w:rsid w:val="00E94F0C"/>
    <w:rsid w:val="00E96594"/>
    <w:rsid w:val="00E965B1"/>
    <w:rsid w:val="00EA2BA4"/>
    <w:rsid w:val="00EA65CD"/>
    <w:rsid w:val="00EA7789"/>
    <w:rsid w:val="00EB2529"/>
    <w:rsid w:val="00EB28A4"/>
    <w:rsid w:val="00EB3D1F"/>
    <w:rsid w:val="00EB3FE3"/>
    <w:rsid w:val="00EB4021"/>
    <w:rsid w:val="00EB5E93"/>
    <w:rsid w:val="00EC416F"/>
    <w:rsid w:val="00EC42E4"/>
    <w:rsid w:val="00EC4A0A"/>
    <w:rsid w:val="00EC5FAF"/>
    <w:rsid w:val="00ED06C9"/>
    <w:rsid w:val="00ED251C"/>
    <w:rsid w:val="00ED291B"/>
    <w:rsid w:val="00ED49E0"/>
    <w:rsid w:val="00ED4DF8"/>
    <w:rsid w:val="00ED5444"/>
    <w:rsid w:val="00ED7D97"/>
    <w:rsid w:val="00EE086F"/>
    <w:rsid w:val="00EE2C20"/>
    <w:rsid w:val="00EE4B98"/>
    <w:rsid w:val="00EE548D"/>
    <w:rsid w:val="00EF2D6E"/>
    <w:rsid w:val="00EF3511"/>
    <w:rsid w:val="00EF721F"/>
    <w:rsid w:val="00EF7311"/>
    <w:rsid w:val="00EF7665"/>
    <w:rsid w:val="00F0175D"/>
    <w:rsid w:val="00F03B03"/>
    <w:rsid w:val="00F0437A"/>
    <w:rsid w:val="00F0462B"/>
    <w:rsid w:val="00F04AF1"/>
    <w:rsid w:val="00F05A77"/>
    <w:rsid w:val="00F11270"/>
    <w:rsid w:val="00F11C6E"/>
    <w:rsid w:val="00F13EB3"/>
    <w:rsid w:val="00F13F1C"/>
    <w:rsid w:val="00F147D1"/>
    <w:rsid w:val="00F149E9"/>
    <w:rsid w:val="00F1501A"/>
    <w:rsid w:val="00F154DB"/>
    <w:rsid w:val="00F1624D"/>
    <w:rsid w:val="00F17B24"/>
    <w:rsid w:val="00F20619"/>
    <w:rsid w:val="00F24001"/>
    <w:rsid w:val="00F241DF"/>
    <w:rsid w:val="00F26297"/>
    <w:rsid w:val="00F33A75"/>
    <w:rsid w:val="00F33C38"/>
    <w:rsid w:val="00F35782"/>
    <w:rsid w:val="00F35C95"/>
    <w:rsid w:val="00F40A19"/>
    <w:rsid w:val="00F42303"/>
    <w:rsid w:val="00F42B29"/>
    <w:rsid w:val="00F4342F"/>
    <w:rsid w:val="00F447A7"/>
    <w:rsid w:val="00F4544B"/>
    <w:rsid w:val="00F4733E"/>
    <w:rsid w:val="00F5001C"/>
    <w:rsid w:val="00F502CA"/>
    <w:rsid w:val="00F509D6"/>
    <w:rsid w:val="00F55E4E"/>
    <w:rsid w:val="00F57631"/>
    <w:rsid w:val="00F6036E"/>
    <w:rsid w:val="00F608ED"/>
    <w:rsid w:val="00F60ED1"/>
    <w:rsid w:val="00F62A0C"/>
    <w:rsid w:val="00F63739"/>
    <w:rsid w:val="00F643B7"/>
    <w:rsid w:val="00F66FD4"/>
    <w:rsid w:val="00F76FFB"/>
    <w:rsid w:val="00F80364"/>
    <w:rsid w:val="00F803AA"/>
    <w:rsid w:val="00F805FA"/>
    <w:rsid w:val="00F81259"/>
    <w:rsid w:val="00F8155F"/>
    <w:rsid w:val="00F8238B"/>
    <w:rsid w:val="00F82D00"/>
    <w:rsid w:val="00F83E5A"/>
    <w:rsid w:val="00F84E35"/>
    <w:rsid w:val="00F85203"/>
    <w:rsid w:val="00F86605"/>
    <w:rsid w:val="00F86BD6"/>
    <w:rsid w:val="00F92EB1"/>
    <w:rsid w:val="00F9348F"/>
    <w:rsid w:val="00F949D3"/>
    <w:rsid w:val="00F94F7F"/>
    <w:rsid w:val="00F97FAF"/>
    <w:rsid w:val="00FA1F7D"/>
    <w:rsid w:val="00FA300C"/>
    <w:rsid w:val="00FA3CCE"/>
    <w:rsid w:val="00FA5DDF"/>
    <w:rsid w:val="00FB079C"/>
    <w:rsid w:val="00FB08A8"/>
    <w:rsid w:val="00FB0D8F"/>
    <w:rsid w:val="00FB0EB1"/>
    <w:rsid w:val="00FB0F3F"/>
    <w:rsid w:val="00FB213A"/>
    <w:rsid w:val="00FB3F20"/>
    <w:rsid w:val="00FB4DCE"/>
    <w:rsid w:val="00FB5378"/>
    <w:rsid w:val="00FB5F16"/>
    <w:rsid w:val="00FB7F09"/>
    <w:rsid w:val="00FC1003"/>
    <w:rsid w:val="00FC1300"/>
    <w:rsid w:val="00FC2053"/>
    <w:rsid w:val="00FC229D"/>
    <w:rsid w:val="00FC3119"/>
    <w:rsid w:val="00FC4D55"/>
    <w:rsid w:val="00FC5A7B"/>
    <w:rsid w:val="00FC5E98"/>
    <w:rsid w:val="00FC6FF3"/>
    <w:rsid w:val="00FC7BE8"/>
    <w:rsid w:val="00FC7F1C"/>
    <w:rsid w:val="00FD2504"/>
    <w:rsid w:val="00FD2CAB"/>
    <w:rsid w:val="00FD33D4"/>
    <w:rsid w:val="00FD4297"/>
    <w:rsid w:val="00FD5ABF"/>
    <w:rsid w:val="00FE08EE"/>
    <w:rsid w:val="00FE2B1F"/>
    <w:rsid w:val="00FE2CF3"/>
    <w:rsid w:val="00FE395C"/>
    <w:rsid w:val="00FE6905"/>
    <w:rsid w:val="00FF0426"/>
    <w:rsid w:val="00FF0EF7"/>
    <w:rsid w:val="00FF2BAE"/>
    <w:rsid w:val="00FF3A90"/>
    <w:rsid w:val="00FF788F"/>
    <w:rsid w:val="1E5A46BF"/>
    <w:rsid w:val="6493D36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CECCD5"/>
  <w15:docId w15:val="{02F9FF25-ABFD-4582-867F-5F1360EC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AB8"/>
    <w:rPr>
      <w:rFonts w:ascii="Calibri" w:eastAsiaTheme="minorHAnsi" w:hAnsi="Calibri" w:cs="Calibri"/>
      <w:sz w:val="22"/>
      <w:szCs w:val="22"/>
    </w:rPr>
  </w:style>
  <w:style w:type="paragraph" w:styleId="Heading1">
    <w:name w:val="heading 1"/>
    <w:basedOn w:val="Normal"/>
    <w:next w:val="Normal"/>
    <w:link w:val="Heading1Char"/>
    <w:qFormat/>
    <w:rsid w:val="00B926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04A"/>
    <w:pPr>
      <w:tabs>
        <w:tab w:val="center" w:pos="4680"/>
        <w:tab w:val="right" w:pos="9360"/>
      </w:tabs>
    </w:pPr>
  </w:style>
  <w:style w:type="character" w:customStyle="1" w:styleId="HeaderChar">
    <w:name w:val="Header Char"/>
    <w:basedOn w:val="DefaultParagraphFont"/>
    <w:link w:val="Header"/>
    <w:rsid w:val="0038004A"/>
    <w:rPr>
      <w:sz w:val="24"/>
      <w:szCs w:val="24"/>
    </w:rPr>
  </w:style>
  <w:style w:type="paragraph" w:styleId="Footer">
    <w:name w:val="footer"/>
    <w:basedOn w:val="Normal"/>
    <w:link w:val="FooterChar"/>
    <w:uiPriority w:val="99"/>
    <w:rsid w:val="0038004A"/>
    <w:pPr>
      <w:tabs>
        <w:tab w:val="center" w:pos="4680"/>
        <w:tab w:val="right" w:pos="9360"/>
      </w:tabs>
    </w:pPr>
  </w:style>
  <w:style w:type="character" w:customStyle="1" w:styleId="FooterChar">
    <w:name w:val="Footer Char"/>
    <w:basedOn w:val="DefaultParagraphFont"/>
    <w:link w:val="Footer"/>
    <w:uiPriority w:val="99"/>
    <w:rsid w:val="0038004A"/>
    <w:rPr>
      <w:sz w:val="24"/>
      <w:szCs w:val="24"/>
    </w:rPr>
  </w:style>
  <w:style w:type="paragraph" w:styleId="BodyText">
    <w:name w:val="Body Text"/>
    <w:basedOn w:val="Normal"/>
    <w:link w:val="BodyTextChar"/>
    <w:uiPriority w:val="1"/>
    <w:qFormat/>
    <w:rsid w:val="0038004A"/>
    <w:pPr>
      <w:widowControl w:val="0"/>
      <w:spacing w:after="240"/>
      <w:ind w:firstLine="720"/>
    </w:pPr>
  </w:style>
  <w:style w:type="character" w:customStyle="1" w:styleId="BodyTextChar">
    <w:name w:val="Body Text Char"/>
    <w:basedOn w:val="DefaultParagraphFont"/>
    <w:link w:val="BodyText"/>
    <w:uiPriority w:val="1"/>
    <w:rsid w:val="0038004A"/>
    <w:rPr>
      <w:sz w:val="24"/>
      <w:szCs w:val="24"/>
    </w:rPr>
  </w:style>
  <w:style w:type="paragraph" w:customStyle="1" w:styleId="BodyTextContinued">
    <w:name w:val="Body Text Continued"/>
    <w:basedOn w:val="BodyText"/>
    <w:next w:val="BodyText"/>
    <w:rsid w:val="0038004A"/>
    <w:pPr>
      <w:ind w:firstLine="0"/>
    </w:pPr>
  </w:style>
  <w:style w:type="character" w:styleId="PageNumber">
    <w:name w:val="page number"/>
    <w:basedOn w:val="DefaultParagraphFont"/>
    <w:rsid w:val="0038004A"/>
  </w:style>
  <w:style w:type="paragraph" w:styleId="Quote">
    <w:name w:val="Quote"/>
    <w:basedOn w:val="Normal"/>
    <w:next w:val="BodyTextContinued"/>
    <w:link w:val="QuoteChar"/>
    <w:qFormat/>
    <w:rsid w:val="0038004A"/>
    <w:pPr>
      <w:spacing w:after="240"/>
      <w:ind w:left="1440" w:right="1440"/>
    </w:pPr>
  </w:style>
  <w:style w:type="character" w:customStyle="1" w:styleId="QuoteChar">
    <w:name w:val="Quote Char"/>
    <w:basedOn w:val="DefaultParagraphFont"/>
    <w:link w:val="Quote"/>
    <w:rsid w:val="0038004A"/>
    <w:rPr>
      <w:sz w:val="24"/>
      <w:szCs w:val="24"/>
    </w:rPr>
  </w:style>
  <w:style w:type="paragraph" w:styleId="BalloonText">
    <w:name w:val="Balloon Text"/>
    <w:basedOn w:val="Normal"/>
    <w:link w:val="BalloonTextChar"/>
    <w:semiHidden/>
    <w:unhideWhenUsed/>
    <w:rsid w:val="00BD38A2"/>
    <w:rPr>
      <w:rFonts w:ascii="Segoe UI" w:hAnsi="Segoe UI" w:cs="Segoe UI"/>
      <w:sz w:val="18"/>
      <w:szCs w:val="18"/>
    </w:rPr>
  </w:style>
  <w:style w:type="character" w:customStyle="1" w:styleId="BalloonTextChar">
    <w:name w:val="Balloon Text Char"/>
    <w:basedOn w:val="DefaultParagraphFont"/>
    <w:link w:val="BalloonText"/>
    <w:semiHidden/>
    <w:rsid w:val="00BD38A2"/>
    <w:rPr>
      <w:rFonts w:ascii="Segoe UI" w:hAnsi="Segoe UI" w:cs="Segoe UI"/>
      <w:sz w:val="18"/>
      <w:szCs w:val="18"/>
    </w:rPr>
  </w:style>
  <w:style w:type="paragraph" w:customStyle="1" w:styleId="bodytextcontinued0">
    <w:name w:val="body text continued"/>
    <w:basedOn w:val="Normal"/>
    <w:qFormat/>
    <w:rsid w:val="00E46ECE"/>
    <w:pPr>
      <w:spacing w:after="120"/>
    </w:pPr>
    <w:rPr>
      <w:rFonts w:asciiTheme="minorHAnsi" w:hAnsiTheme="minorHAnsi" w:cstheme="minorBidi"/>
      <w:i/>
      <w:sz w:val="20"/>
    </w:rPr>
  </w:style>
  <w:style w:type="table" w:styleId="TableGrid">
    <w:name w:val="Table Grid"/>
    <w:basedOn w:val="TableNormal"/>
    <w:uiPriority w:val="39"/>
    <w:rsid w:val="00E46E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46EC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46EC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46ECE"/>
    <w:rPr>
      <w:vertAlign w:val="superscript"/>
    </w:rPr>
  </w:style>
  <w:style w:type="paragraph" w:styleId="ListParagraph">
    <w:name w:val="List Paragraph"/>
    <w:aliases w:val="Bullet List,Issue Action POC,3,POCG Table Text,Dot pt,F5 List Paragraph,List Paragraph Char Char Char,Indicator Text,Colorful List - Accent 11,Numbered Para 1,Bullet 1,Bullet Points,List Paragraph2,MAIN CONTENT,FooterText,List Paragraph1"/>
    <w:basedOn w:val="Normal"/>
    <w:link w:val="ListParagraphChar"/>
    <w:uiPriority w:val="34"/>
    <w:qFormat/>
    <w:rsid w:val="009C3C0B"/>
    <w:pPr>
      <w:ind w:left="720"/>
      <w:contextualSpacing/>
    </w:pPr>
  </w:style>
  <w:style w:type="character" w:customStyle="1" w:styleId="Heading1Char">
    <w:name w:val="Heading 1 Char"/>
    <w:basedOn w:val="DefaultParagraphFont"/>
    <w:link w:val="Heading1"/>
    <w:rsid w:val="00B9265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521E34"/>
    <w:rPr>
      <w:b/>
      <w:bCs/>
    </w:rPr>
  </w:style>
  <w:style w:type="character" w:styleId="Hyperlink">
    <w:name w:val="Hyperlink"/>
    <w:basedOn w:val="DefaultParagraphFont"/>
    <w:uiPriority w:val="99"/>
    <w:unhideWhenUsed/>
    <w:rsid w:val="00B92655"/>
    <w:rPr>
      <w:color w:val="0000FF" w:themeColor="hyperlink"/>
      <w:u w:val="single"/>
    </w:rPr>
  </w:style>
  <w:style w:type="paragraph" w:styleId="CommentText">
    <w:name w:val="annotation text"/>
    <w:basedOn w:val="Normal"/>
    <w:link w:val="CommentTextChar"/>
    <w:uiPriority w:val="99"/>
    <w:unhideWhenUsed/>
    <w:rsid w:val="00B92655"/>
    <w:rPr>
      <w:sz w:val="20"/>
      <w:szCs w:val="20"/>
    </w:rPr>
  </w:style>
  <w:style w:type="character" w:customStyle="1" w:styleId="CommentTextChar">
    <w:name w:val="Comment Text Char"/>
    <w:basedOn w:val="DefaultParagraphFont"/>
    <w:link w:val="CommentText"/>
    <w:uiPriority w:val="99"/>
    <w:rsid w:val="00B92655"/>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B92655"/>
    <w:pPr>
      <w:widowControl w:val="0"/>
      <w:autoSpaceDE w:val="0"/>
      <w:autoSpaceDN w:val="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B92655"/>
    <w:rPr>
      <w:rFonts w:ascii="Calibri" w:eastAsiaTheme="minorHAnsi" w:hAnsi="Calibri" w:cs="Calibri"/>
      <w:b/>
      <w:bCs/>
      <w:lang w:bidi="en-US"/>
    </w:rPr>
  </w:style>
  <w:style w:type="paragraph" w:styleId="TOCHeading">
    <w:name w:val="TOC Heading"/>
    <w:basedOn w:val="Heading1"/>
    <w:next w:val="Normal"/>
    <w:uiPriority w:val="39"/>
    <w:unhideWhenUsed/>
    <w:qFormat/>
    <w:rsid w:val="00B92655"/>
    <w:pPr>
      <w:spacing w:line="259" w:lineRule="auto"/>
      <w:outlineLvl w:val="9"/>
    </w:pPr>
  </w:style>
  <w:style w:type="paragraph" w:styleId="TOC2">
    <w:name w:val="toc 2"/>
    <w:basedOn w:val="Normal"/>
    <w:next w:val="Normal"/>
    <w:autoRedefine/>
    <w:uiPriority w:val="39"/>
    <w:unhideWhenUsed/>
    <w:rsid w:val="00B92655"/>
    <w:pPr>
      <w:widowControl w:val="0"/>
      <w:tabs>
        <w:tab w:val="right" w:leader="dot" w:pos="13450"/>
      </w:tabs>
      <w:autoSpaceDE w:val="0"/>
      <w:autoSpaceDN w:val="0"/>
      <w:spacing w:after="100"/>
    </w:pPr>
    <w:rPr>
      <w:rFonts w:ascii="Times New Roman" w:eastAsia="Times New Roman" w:hAnsi="Times New Roman" w:cs="Times New Roman"/>
      <w:noProof/>
      <w:lang w:bidi="en-US"/>
    </w:rPr>
  </w:style>
  <w:style w:type="paragraph" w:styleId="TOC1">
    <w:name w:val="toc 1"/>
    <w:basedOn w:val="Normal"/>
    <w:next w:val="Normal"/>
    <w:autoRedefine/>
    <w:uiPriority w:val="39"/>
    <w:unhideWhenUsed/>
    <w:rsid w:val="00B92655"/>
    <w:pPr>
      <w:spacing w:after="100"/>
    </w:pPr>
  </w:style>
  <w:style w:type="paragraph" w:customStyle="1" w:styleId="MacPacTrailer">
    <w:name w:val="MacPac Trailer"/>
    <w:rsid w:val="0087444D"/>
    <w:pPr>
      <w:widowControl w:val="0"/>
      <w:spacing w:line="200" w:lineRule="exact"/>
    </w:pPr>
    <w:rPr>
      <w:sz w:val="16"/>
      <w:szCs w:val="22"/>
    </w:rPr>
  </w:style>
  <w:style w:type="character" w:styleId="PlaceholderText">
    <w:name w:val="Placeholder Text"/>
    <w:basedOn w:val="DefaultParagraphFont"/>
    <w:uiPriority w:val="99"/>
    <w:semiHidden/>
    <w:rsid w:val="00B46C19"/>
    <w:rPr>
      <w:color w:val="808080"/>
    </w:rPr>
  </w:style>
  <w:style w:type="character" w:styleId="UnresolvedMention">
    <w:name w:val="Unresolved Mention"/>
    <w:basedOn w:val="DefaultParagraphFont"/>
    <w:uiPriority w:val="99"/>
    <w:semiHidden/>
    <w:unhideWhenUsed/>
    <w:rsid w:val="000E4141"/>
    <w:rPr>
      <w:color w:val="605E5C"/>
      <w:shd w:val="clear" w:color="auto" w:fill="E1DFDD"/>
    </w:rPr>
  </w:style>
  <w:style w:type="character" w:styleId="CommentReference">
    <w:name w:val="annotation reference"/>
    <w:basedOn w:val="DefaultParagraphFont"/>
    <w:uiPriority w:val="99"/>
    <w:semiHidden/>
    <w:unhideWhenUsed/>
    <w:rsid w:val="00D6110D"/>
    <w:rPr>
      <w:sz w:val="16"/>
      <w:szCs w:val="16"/>
    </w:rPr>
  </w:style>
  <w:style w:type="table" w:customStyle="1" w:styleId="TableGrid1">
    <w:name w:val="Table Grid1"/>
    <w:basedOn w:val="TableNormal"/>
    <w:next w:val="TableGrid"/>
    <w:uiPriority w:val="39"/>
    <w:rsid w:val="0087598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598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598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7598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7598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13EB3"/>
    <w:rPr>
      <w:color w:val="800080" w:themeColor="followedHyperlink"/>
      <w:u w:val="single"/>
    </w:rPr>
  </w:style>
  <w:style w:type="paragraph" w:styleId="ListBullet">
    <w:name w:val="List Bullet"/>
    <w:basedOn w:val="Normal"/>
    <w:uiPriority w:val="99"/>
    <w:unhideWhenUsed/>
    <w:rsid w:val="00B9375E"/>
    <w:pPr>
      <w:numPr>
        <w:numId w:val="11"/>
      </w:numPr>
      <w:contextualSpacing/>
    </w:pPr>
  </w:style>
  <w:style w:type="table" w:customStyle="1" w:styleId="TableGrid6">
    <w:name w:val="Table Grid6"/>
    <w:basedOn w:val="TableNormal"/>
    <w:next w:val="TableGrid"/>
    <w:uiPriority w:val="39"/>
    <w:rsid w:val="00130C80"/>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4FC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86AAB"/>
    <w:rPr>
      <w:rFonts w:ascii="Calibri" w:eastAsiaTheme="minorHAnsi" w:hAnsi="Calibri" w:cs="Calibri"/>
      <w:sz w:val="22"/>
      <w:szCs w:val="22"/>
    </w:rPr>
  </w:style>
  <w:style w:type="paragraph" w:customStyle="1" w:styleId="Default">
    <w:name w:val="Default"/>
    <w:basedOn w:val="Normal"/>
    <w:rsid w:val="0079008E"/>
    <w:pPr>
      <w:autoSpaceDE w:val="0"/>
      <w:autoSpaceDN w:val="0"/>
    </w:pPr>
    <w:rPr>
      <w:rFonts w:ascii="Times New Roman" w:hAnsi="Times New Roman" w:cs="Times New Roman"/>
      <w:color w:val="000000"/>
      <w:sz w:val="24"/>
      <w:szCs w:val="24"/>
    </w:rPr>
  </w:style>
  <w:style w:type="character" w:customStyle="1" w:styleId="ListParagraphChar">
    <w:name w:val="List Paragraph Char"/>
    <w:aliases w:val="Bullet List Char,Issue Action POC Char,3 Char,POCG Table Text Char,Dot pt Char,F5 List Paragraph Char,List Paragraph Char Char Char Char,Indicator Text Char,Colorful List - Accent 11 Char,Numbered Para 1 Char,Bullet 1 Char"/>
    <w:link w:val="ListParagraph"/>
    <w:uiPriority w:val="34"/>
    <w:locked/>
    <w:rsid w:val="008843CF"/>
    <w:rPr>
      <w:rFonts w:ascii="Calibri" w:eastAsiaTheme="minorHAnsi" w:hAnsi="Calibri" w:cs="Calibri"/>
      <w:sz w:val="22"/>
      <w:szCs w:val="22"/>
    </w:rPr>
  </w:style>
  <w:style w:type="character" w:customStyle="1" w:styleId="cf01">
    <w:name w:val="cf01"/>
    <w:basedOn w:val="DefaultParagraphFont"/>
    <w:rsid w:val="00CE51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410">
      <w:bodyDiv w:val="1"/>
      <w:marLeft w:val="0"/>
      <w:marRight w:val="0"/>
      <w:marTop w:val="0"/>
      <w:marBottom w:val="0"/>
      <w:divBdr>
        <w:top w:val="none" w:sz="0" w:space="0" w:color="auto"/>
        <w:left w:val="none" w:sz="0" w:space="0" w:color="auto"/>
        <w:bottom w:val="none" w:sz="0" w:space="0" w:color="auto"/>
        <w:right w:val="none" w:sz="0" w:space="0" w:color="auto"/>
      </w:divBdr>
    </w:div>
    <w:div w:id="989990330">
      <w:bodyDiv w:val="1"/>
      <w:marLeft w:val="0"/>
      <w:marRight w:val="0"/>
      <w:marTop w:val="0"/>
      <w:marBottom w:val="0"/>
      <w:divBdr>
        <w:top w:val="none" w:sz="0" w:space="0" w:color="auto"/>
        <w:left w:val="none" w:sz="0" w:space="0" w:color="auto"/>
        <w:bottom w:val="none" w:sz="0" w:space="0" w:color="auto"/>
        <w:right w:val="none" w:sz="0" w:space="0" w:color="auto"/>
      </w:divBdr>
    </w:div>
    <w:div w:id="996154223">
      <w:bodyDiv w:val="1"/>
      <w:marLeft w:val="0"/>
      <w:marRight w:val="0"/>
      <w:marTop w:val="0"/>
      <w:marBottom w:val="0"/>
      <w:divBdr>
        <w:top w:val="none" w:sz="0" w:space="0" w:color="auto"/>
        <w:left w:val="none" w:sz="0" w:space="0" w:color="auto"/>
        <w:bottom w:val="none" w:sz="0" w:space="0" w:color="auto"/>
        <w:right w:val="none" w:sz="0" w:space="0" w:color="auto"/>
      </w:divBdr>
    </w:div>
    <w:div w:id="1115177240">
      <w:bodyDiv w:val="1"/>
      <w:marLeft w:val="0"/>
      <w:marRight w:val="0"/>
      <w:marTop w:val="0"/>
      <w:marBottom w:val="0"/>
      <w:divBdr>
        <w:top w:val="none" w:sz="0" w:space="0" w:color="auto"/>
        <w:left w:val="none" w:sz="0" w:space="0" w:color="auto"/>
        <w:bottom w:val="none" w:sz="0" w:space="0" w:color="auto"/>
        <w:right w:val="none" w:sz="0" w:space="0" w:color="auto"/>
      </w:divBdr>
    </w:div>
    <w:div w:id="1156339748">
      <w:bodyDiv w:val="1"/>
      <w:marLeft w:val="0"/>
      <w:marRight w:val="0"/>
      <w:marTop w:val="0"/>
      <w:marBottom w:val="0"/>
      <w:divBdr>
        <w:top w:val="none" w:sz="0" w:space="0" w:color="auto"/>
        <w:left w:val="none" w:sz="0" w:space="0" w:color="auto"/>
        <w:bottom w:val="none" w:sz="0" w:space="0" w:color="auto"/>
        <w:right w:val="none" w:sz="0" w:space="0" w:color="auto"/>
      </w:divBdr>
    </w:div>
    <w:div w:id="1374112579">
      <w:bodyDiv w:val="1"/>
      <w:marLeft w:val="0"/>
      <w:marRight w:val="0"/>
      <w:marTop w:val="0"/>
      <w:marBottom w:val="0"/>
      <w:divBdr>
        <w:top w:val="none" w:sz="0" w:space="0" w:color="auto"/>
        <w:left w:val="none" w:sz="0" w:space="0" w:color="auto"/>
        <w:bottom w:val="none" w:sz="0" w:space="0" w:color="auto"/>
        <w:right w:val="none" w:sz="0" w:space="0" w:color="auto"/>
      </w:divBdr>
    </w:div>
    <w:div w:id="1428230050">
      <w:bodyDiv w:val="1"/>
      <w:marLeft w:val="0"/>
      <w:marRight w:val="0"/>
      <w:marTop w:val="0"/>
      <w:marBottom w:val="0"/>
      <w:divBdr>
        <w:top w:val="none" w:sz="0" w:space="0" w:color="auto"/>
        <w:left w:val="none" w:sz="0" w:space="0" w:color="auto"/>
        <w:bottom w:val="none" w:sz="0" w:space="0" w:color="auto"/>
        <w:right w:val="none" w:sz="0" w:space="0" w:color="auto"/>
      </w:divBdr>
    </w:div>
    <w:div w:id="1809588817">
      <w:bodyDiv w:val="1"/>
      <w:marLeft w:val="0"/>
      <w:marRight w:val="0"/>
      <w:marTop w:val="0"/>
      <w:marBottom w:val="0"/>
      <w:divBdr>
        <w:top w:val="none" w:sz="0" w:space="0" w:color="auto"/>
        <w:left w:val="none" w:sz="0" w:space="0" w:color="auto"/>
        <w:bottom w:val="none" w:sz="0" w:space="0" w:color="auto"/>
        <w:right w:val="none" w:sz="0" w:space="0" w:color="auto"/>
      </w:divBdr>
      <w:divsChild>
        <w:div w:id="26685595">
          <w:marLeft w:val="1166"/>
          <w:marRight w:val="0"/>
          <w:marTop w:val="0"/>
          <w:marBottom w:val="0"/>
          <w:divBdr>
            <w:top w:val="none" w:sz="0" w:space="0" w:color="auto"/>
            <w:left w:val="none" w:sz="0" w:space="0" w:color="auto"/>
            <w:bottom w:val="none" w:sz="0" w:space="0" w:color="auto"/>
            <w:right w:val="none" w:sz="0" w:space="0" w:color="auto"/>
          </w:divBdr>
        </w:div>
        <w:div w:id="502234797">
          <w:marLeft w:val="1166"/>
          <w:marRight w:val="0"/>
          <w:marTop w:val="0"/>
          <w:marBottom w:val="0"/>
          <w:divBdr>
            <w:top w:val="none" w:sz="0" w:space="0" w:color="auto"/>
            <w:left w:val="none" w:sz="0" w:space="0" w:color="auto"/>
            <w:bottom w:val="none" w:sz="0" w:space="0" w:color="auto"/>
            <w:right w:val="none" w:sz="0" w:space="0" w:color="auto"/>
          </w:divBdr>
        </w:div>
        <w:div w:id="1664435011">
          <w:marLeft w:val="1166"/>
          <w:marRight w:val="0"/>
          <w:marTop w:val="0"/>
          <w:marBottom w:val="0"/>
          <w:divBdr>
            <w:top w:val="none" w:sz="0" w:space="0" w:color="auto"/>
            <w:left w:val="none" w:sz="0" w:space="0" w:color="auto"/>
            <w:bottom w:val="none" w:sz="0" w:space="0" w:color="auto"/>
            <w:right w:val="none" w:sz="0" w:space="0" w:color="auto"/>
          </w:divBdr>
        </w:div>
      </w:divsChild>
    </w:div>
    <w:div w:id="1840850152">
      <w:bodyDiv w:val="1"/>
      <w:marLeft w:val="0"/>
      <w:marRight w:val="0"/>
      <w:marTop w:val="0"/>
      <w:marBottom w:val="0"/>
      <w:divBdr>
        <w:top w:val="none" w:sz="0" w:space="0" w:color="auto"/>
        <w:left w:val="none" w:sz="0" w:space="0" w:color="auto"/>
        <w:bottom w:val="none" w:sz="0" w:space="0" w:color="auto"/>
        <w:right w:val="none" w:sz="0" w:space="0" w:color="auto"/>
      </w:divBdr>
    </w:div>
    <w:div w:id="18870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medicaid.gov/state-resource-center/downloads/strategies-for-covrg-of-indiv.pdf" TargetMode="External"/><Relationship Id="rId26" Type="http://schemas.openxmlformats.org/officeDocument/2006/relationships/hyperlink" Target="https://www.medicaid.gov/unwinding" TargetMode="External"/><Relationship Id="rId39" Type="http://schemas.openxmlformats.org/officeDocument/2006/relationships/header" Target="header2.xml"/><Relationship Id="rId21" Type="http://schemas.openxmlformats.org/officeDocument/2006/relationships/hyperlink" Target="https://www.medicaid.gov/federal-policy-guidance/downloads/sho-21-002.pdf" TargetMode="External"/><Relationship Id="rId34" Type="http://schemas.openxmlformats.org/officeDocument/2006/relationships/hyperlink" Target="https://www.medicaid.gov/state-resource-center/downloads/covid-19-faqs.pdf" TargetMode="External"/><Relationship Id="rId42"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medicaid.gov/federal-policy-guidance/downloads/sho20004.pdf" TargetMode="External"/><Relationship Id="rId29" Type="http://schemas.openxmlformats.org/officeDocument/2006/relationships/hyperlink" Target="https://www.medicaid.gov/state-resource-center/downloads/strategies-for-covrg-of-indiv.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medicaid.gov/federal-policy-guidance/downloads/sho20004.pdf" TargetMode="External"/><Relationship Id="rId32" Type="http://schemas.openxmlformats.org/officeDocument/2006/relationships/hyperlink" Target="https://www.medicaid.gov/federal-policy-guidance/downloads/sho-21-002.pdf" TargetMode="External"/><Relationship Id="rId37" Type="http://schemas.openxmlformats.org/officeDocument/2006/relationships/hyperlink" Target="https://www.medicaid.gov/unwindin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edicaid.gov/state-resource-center/downloads/covid-19-faqs.pdf" TargetMode="External"/><Relationship Id="rId23" Type="http://schemas.openxmlformats.org/officeDocument/2006/relationships/hyperlink" Target="https://www.medicaid.gov/unwinding" TargetMode="External"/><Relationship Id="rId28" Type="http://schemas.openxmlformats.org/officeDocument/2006/relationships/hyperlink" Target="https://www.medicaid.gov/state-resource-center/downloads/strategies-for-covrg-of-indiv.pdf" TargetMode="External"/><Relationship Id="rId36" Type="http://schemas.openxmlformats.org/officeDocument/2006/relationships/hyperlink" Target="https://www.medicaid.gov/state-resource-center/downloads/strategies-for-covrg-of-indiv.pdf" TargetMode="External"/><Relationship Id="rId10" Type="http://schemas.openxmlformats.org/officeDocument/2006/relationships/settings" Target="settings.xml"/><Relationship Id="rId19" Type="http://schemas.openxmlformats.org/officeDocument/2006/relationships/hyperlink" Target="https://www.medicaid.gov/unwinding" TargetMode="External"/><Relationship Id="rId31" Type="http://schemas.openxmlformats.org/officeDocument/2006/relationships/hyperlink" Target="https://www.medicaid.gov/federal-policy-guidance/downloads/sho20004.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edicaid.gov/federal-policy-guidance/downloads/cib120420.pdf" TargetMode="External"/><Relationship Id="rId22" Type="http://schemas.openxmlformats.org/officeDocument/2006/relationships/hyperlink" Target="https://www.medicaid.gov/state-resource-center/downloads/strategies-for-covrg-of-indiv.pdf" TargetMode="External"/><Relationship Id="rId27" Type="http://schemas.openxmlformats.org/officeDocument/2006/relationships/hyperlink" Target="https://www.medicaid.gov/unwinding" TargetMode="External"/><Relationship Id="rId30" Type="http://schemas.openxmlformats.org/officeDocument/2006/relationships/hyperlink" Target="https://www.medicaid.gov/federal-policy-guidance/downloads/cib120420.pdf" TargetMode="External"/><Relationship Id="rId35" Type="http://schemas.openxmlformats.org/officeDocument/2006/relationships/hyperlink" Target="https://www.medicaid.gov/state-resource-center/downloads/mac-learning-collaboratives/timely-accurate-eligibility.pdf" TargetMode="External"/><Relationship Id="rId43" Type="http://schemas.openxmlformats.org/officeDocument/2006/relationships/footer" Target="footer3.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medicaid.gov/federal-policy-guidance/downloads/sho-21-002.pdf" TargetMode="External"/><Relationship Id="rId25" Type="http://schemas.openxmlformats.org/officeDocument/2006/relationships/hyperlink" Target="https://www.medicaid.gov/state-resource-center/downloads/strategies-for-covrg-of-indiv.pdf" TargetMode="External"/><Relationship Id="rId33" Type="http://schemas.openxmlformats.org/officeDocument/2006/relationships/hyperlink" Target="https://www.medicaid.gov/unwinding" TargetMode="External"/><Relationship Id="rId38" Type="http://schemas.openxmlformats.org/officeDocument/2006/relationships/header" Target="header1.xml"/><Relationship Id="rId20" Type="http://schemas.openxmlformats.org/officeDocument/2006/relationships/hyperlink" Target="https://www.medicaid.gov/state-resource-center/downloads/mac-learning-collaboratives/timely-accurate-eligibility.pdf"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D9F24ABDEDAB0468C60862E4C331B4D" ma:contentTypeVersion="21" ma:contentTypeDescription="Create a new document." ma:contentTypeScope="" ma:versionID="e8bb9c0a6f7a58fe15902ae57af796ed">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44ea41b-304c-4c03-99c4-debb02094f92">CMCS-1268543921-1116</_dlc_DocId>
    <_dlc_DocIdUrl xmlns="144ea41b-304c-4c03-99c4-debb02094f92">
      <Url>https://share.cms.gov/center/CMCS/CAHPG/DEPO/_layouts/15/DocIdRedir.aspx?ID=CMCS-1268543921-1116</Url>
      <Description>CMCS-1268543921-1116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1 6 " ? > < p r o p e r t i e s   x m l n s = " h t t p : / / w w w . i m a n a g e . c o m / w o r k / x m l s c h e m a " >  
     < d o c u m e n t i d > M a n a t t ! 4 0 1 0 4 3 8 0 3 . 1 < / d o c u m e n t i d >  
     < s e n d e r i d > A L A M < / s e n d e r i d >  
     < s e n d e r e m a i l > A L A M @ M A N A T T . C O M < / s e n d e r e m a i l >  
     < l a s t m o d i f i e d > 2 0 2 2 - 0 3 - 0 2 T 0 8 : 2 6 : 0 0 . 0 0 0 0 0 0 0 - 0 5 : 0 0 < / l a s t m o d i f i e d >  
     < d a t a b a s e > M a n a t t < / d a t a b a s e >  
 < / p r o p e r t i e s > 
</file>

<file path=customXml/itemProps1.xml><?xml version="1.0" encoding="utf-8"?>
<ds:datastoreItem xmlns:ds="http://schemas.openxmlformats.org/officeDocument/2006/customXml" ds:itemID="{0E28D8B2-DFD7-42DA-ADCE-2278BC5BDDFE}">
  <ds:schemaRefs>
    <ds:schemaRef ds:uri="Microsoft.SharePoint.Taxonomy.ContentTypeSync"/>
  </ds:schemaRefs>
</ds:datastoreItem>
</file>

<file path=customXml/itemProps2.xml><?xml version="1.0" encoding="utf-8"?>
<ds:datastoreItem xmlns:ds="http://schemas.openxmlformats.org/officeDocument/2006/customXml" ds:itemID="{0FF9F52F-9050-427C-A774-CCC4D6BE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1256C-1D53-493E-918C-93242292D05E}">
  <ds:schemaRefs>
    <ds:schemaRef ds:uri="http://schemas.openxmlformats.org/officeDocument/2006/bibliography"/>
  </ds:schemaRefs>
</ds:datastoreItem>
</file>

<file path=customXml/itemProps4.xml><?xml version="1.0" encoding="utf-8"?>
<ds:datastoreItem xmlns:ds="http://schemas.openxmlformats.org/officeDocument/2006/customXml" ds:itemID="{1B3FE353-B43C-4AAB-A7CD-58261B8F3E5D}">
  <ds:schemaRefs>
    <ds:schemaRef ds:uri="http://purl.org/dc/terms/"/>
    <ds:schemaRef ds:uri="http://schemas.microsoft.com/office/infopath/2007/PartnerControls"/>
    <ds:schemaRef ds:uri="http://schemas.openxmlformats.org/package/2006/metadata/core-properties"/>
    <ds:schemaRef ds:uri="http://purl.org/dc/dcmitype/"/>
    <ds:schemaRef ds:uri="144ea41b-304c-4c03-99c4-debb02094f92"/>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966BF3E-9CFD-4BB9-B342-30848FEF5900}">
  <ds:schemaRefs>
    <ds:schemaRef ds:uri="http://schemas.microsoft.com/sharepoint/v3/contenttype/forms"/>
  </ds:schemaRefs>
</ds:datastoreItem>
</file>

<file path=customXml/itemProps6.xml><?xml version="1.0" encoding="utf-8"?>
<ds:datastoreItem xmlns:ds="http://schemas.openxmlformats.org/officeDocument/2006/customXml" ds:itemID="{0DFADE08-BA27-425B-981F-848B1FB4E76E}">
  <ds:schemaRefs>
    <ds:schemaRef ds:uri="http://schemas.microsoft.com/sharepoint/events"/>
  </ds:schemaRefs>
</ds:datastoreItem>
</file>

<file path=customXml/itemProps7.xml><?xml version="1.0" encoding="utf-8"?>
<ds:datastoreItem xmlns:ds="http://schemas.openxmlformats.org/officeDocument/2006/customXml" ds:itemID="{0BFE15ED-79CC-4FD6-B82C-D22DD4F4081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ForteNormal.dotx</Template>
  <TotalTime>5</TotalTime>
  <Pages>35</Pages>
  <Words>9363</Words>
  <Characters>59523</Characters>
  <Application>Microsoft Office Word</Application>
  <DocSecurity>0</DocSecurity>
  <Lines>496</Lines>
  <Paragraphs>137</Paragraphs>
  <ScaleCrop>false</ScaleCrop>
  <HeadingPairs>
    <vt:vector size="2" baseType="variant">
      <vt:variant>
        <vt:lpstr>Title</vt:lpstr>
      </vt:variant>
      <vt:variant>
        <vt:i4>1</vt:i4>
      </vt:variant>
    </vt:vector>
  </HeadingPairs>
  <TitlesOfParts>
    <vt:vector size="1" baseType="lpstr">
      <vt:lpstr>Eligibility and Enrollment Pending Actions Resolution Planning tool – Version 2.0</vt:lpstr>
    </vt:vector>
  </TitlesOfParts>
  <Company/>
  <LinksUpToDate>false</LinksUpToDate>
  <CharactersWithSpaces>68749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Enrollment Pending Actions Resolution Planning tool – Version 2.0</dc:title>
  <dc:subject>Medicaid and CHIP PHE Unwinding Template</dc:subject>
  <dc:creator>CMS </dc:creator>
  <cp:keywords>unwinding, unwinding period, public health emergency, PHE, eligibility and enrollment, renewal, state strategies</cp:keywords>
  <dc:description/>
  <cp:lastModifiedBy>Margaret Hallisey</cp:lastModifiedBy>
  <cp:revision>4</cp:revision>
  <dcterms:created xsi:type="dcterms:W3CDTF">2022-03-02T15:31:00Z</dcterms:created>
  <dcterms:modified xsi:type="dcterms:W3CDTF">2022-03-03T15:10:00Z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c640391d-9fb2-4277-9d1a-a18871986f45</vt:lpwstr>
  </property>
  <property fmtid="{D5CDD505-2E9C-101B-9397-08002B2CF9AE}" pid="3" name="ContentTypeId">
    <vt:lpwstr>0x010100AD9F24ABDEDAB0468C60862E4C331B4D</vt:lpwstr>
  </property>
</Properties>
</file>